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262; texto principal 7 379.</w:t>
      </w:r>
    </w:p>
    <w:p>
      <w:pPr>
        <w:jc w:val="both"/>
      </w:pPr>
      <w:r>
        <w:rPr>
          <w:rFonts w:ascii="Times New Roman" w:hAnsi="Times New Roman"/>
          <w:b w:val="0"/>
          <w:i/>
          <w:sz w:val="22"/>
        </w:rPr>
        <w:t>Tablas:</w:t>
      </w:r>
      <w:r>
        <w:rPr>
          <w:rFonts w:ascii="Times New Roman" w:hAnsi="Times New Roman"/>
          <w:b w:val="0"/>
          <w:i w:val="0"/>
          <w:sz w:val="22"/>
        </w:rPr>
        <w:t xml:space="preserve"> 6.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únicos;233 informes formaron 183 estudios y, al leer los textos completos, </w:t>
      </w:r>
      <w:r>
        <w:rPr>
          <w:rFonts w:ascii="Times New Roman" w:hAnsi="Times New Roman"/>
          <w:b w:val="0"/>
          <w:i/>
          <w:sz w:val="22"/>
        </w:rPr>
        <w:t>46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137</w:t>
      </w:r>
      <w:r>
        <w:rPr>
          <w:rFonts w:ascii="Times New Roman" w:hAnsi="Times New Roman"/>
          <w:b w:val="0"/>
          <w:i w:val="0"/>
          <w:sz w:val="22"/>
        </w:rP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usaron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val="0"/>
          <w:i/>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val="0"/>
          <w:i/>
          <w:sz w:val="22"/>
        </w:rPr>
        <w:t>por duplicado e independiente</w:t>
      </w:r>
      <w:r>
        <w:rPr>
          <w:rFonts w:ascii="Times New Roman" w:hAnsi="Times New Roman"/>
          <w:b w:val="0"/>
          <w:i w:val="0"/>
          <w:sz w:val="22"/>
        </w:rP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pPr>
        <w:jc w:val="both"/>
      </w:pPr>
      <w:r>
        <w:rPr>
          <w:rFonts w:ascii="Times New Roman" w:hAnsi="Times New Roman"/>
          <w:b w:val="0"/>
          <w:i w:val="0"/>
          <w:sz w:val="22"/>
        </w:rP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 y solo en aquellos cuyo texto completo se obtuvo</w:t>
      </w:r>
      <w:r>
        <w:rPr>
          <w:rFonts w:ascii="Times New Roman" w:hAnsi="Times New Roman"/>
          <w:b w:val="0"/>
          <w:i w:val="0"/>
          <w:sz w:val="22"/>
        </w:rPr>
        <w:t>: 12 de los 15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Los juicios se emiten por consenso entre los dos autores, no por duplicado independiente.</w:t>
      </w:r>
      <w:r>
        <w:rPr>
          <w:rFonts w:ascii="Times New Roman" w:hAnsi="Times New Roman"/>
          <w:b w:val="0"/>
          <w:i w:val="0"/>
          <w:sz w:val="22"/>
        </w:rPr>
        <w:t xml:space="preserve"> A diferencia de la extracción de datos (sección 2.6), esta evaluación no admite una medida de concordancia entre revisores, y no se reporta ninguna. La limitación consta en la sección 4.4.</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sz w:val="22"/>
        </w:rPr>
        <w:t>La evaluación está en curso: faltan 8 de los 90 juicios.</w:t>
      </w:r>
      <w:r>
        <w:rPr>
          <w:rFonts w:ascii="Times New Roman" w:hAnsi="Times New Roman"/>
          <w:b w:val="0"/>
          <w:i w:val="0"/>
          <w:sz w:val="22"/>
        </w:rPr>
        <w:t xml:space="preserve"> Mientras falte alguno, esta revisión no reporta riesgo de sesgo, y ningún indicador derivado del diseño lo sustituye.</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val="0"/>
          <w:i/>
          <w:sz w:val="22"/>
        </w:rPr>
        <w:t>aplicado a los 24 estudios que siguen sin texto completo, el corpus pasaría de 137 a 113 estudios, los comparativos de 11 a 5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val="0"/>
          <w:i/>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val="0"/>
          <w:i/>
          <w:sz w:val="22"/>
        </w:rPr>
        <w:t>46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val="0"/>
          <w:i/>
          <w:sz w:val="22"/>
        </w:rPr>
        <w:t>137 estudios</w:t>
      </w:r>
      <w:r>
        <w:rPr>
          <w:rFonts w:ascii="Times New Roman" w:hAnsi="Times New Roman"/>
          <w:b w:val="0"/>
          <w:i w:val="0"/>
          <w:sz w:val="22"/>
        </w:rPr>
        <w:t>, que agrupan 171 informes: 115 con un solo informe y 22 con varios, hasta un máximo de once informes de un mismo ensayo.</w:t>
      </w:r>
    </w:p>
    <w:p>
      <w:pPr>
        <w:spacing w:before="200" w:after="100"/>
      </w:pPr>
      <w:r>
        <w:rPr>
          <w:rFonts w:ascii="Times New Roman" w:hAnsi="Times New Roman"/>
          <w:b/>
          <w:i w:val="0"/>
          <w:sz w:val="22"/>
        </w:rPr>
        <w:t>3.1.1 Los 46 estudios que el cribado admitió y que salieron después</w:t>
      </w:r>
    </w:p>
    <w:p>
      <w:pPr>
        <w:jc w:val="both"/>
      </w:pPr>
      <w:r>
        <w:rPr>
          <w:rFonts w:ascii="Times New Roman" w:hAnsi="Times New Roman"/>
          <w:b w:val="0"/>
          <w:i/>
          <w:sz w:val="22"/>
        </w:rPr>
        <w:t>Veintinueve salieron al juzgarlos sobre su publicación.</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Veinticuatro</w:t>
      </w:r>
      <w:r>
        <w:rPr>
          <w:rFonts w:ascii="Times New Roman" w:hAnsi="Times New Roman"/>
          <w:b w:val="0"/>
          <w:i w:val="0"/>
          <w:sz w:val="22"/>
        </w:rPr>
        <w:t xml:space="preserve"> salieron de leer su artículo. </w:t>
      </w:r>
      <w:r>
        <w:rPr>
          <w:rFonts w:ascii="Times New Roman" w:hAnsi="Times New Roman"/>
          <w:b w:val="0"/>
          <w:i/>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val="0"/>
          <w:i/>
          <w:sz w:val="22"/>
        </w:rPr>
        <w:t>Cuatro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val="0"/>
          <w:i/>
          <w:sz w:val="22"/>
        </w:rPr>
        <w:t>cuatro restantes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son </w:t>
      </w:r>
      <w:r>
        <w:rPr>
          <w:rFonts w:ascii="Times New Roman" w:hAnsi="Times New Roman"/>
          <w:b w:val="0"/>
          <w:i/>
          <w:sz w:val="22"/>
        </w:rPr>
        <w:t>29 de los 95 estudios extraíbles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22 son la otra cara de esa limitación, y son el </w:t>
      </w:r>
      <w:r>
        <w:rPr>
          <w:rFonts w:ascii="Times New Roman" w:hAnsi="Times New Roman"/>
          <w:b w:val="0"/>
          <w:i/>
          <w:sz w:val="22"/>
        </w:rPr>
        <w:t>23,7 %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29 anteriores se juzgaron sobre el artículo; estos no tienen artículo.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se descargó la ficha completa de cada una de ClinicalTrials.gov y del registro europeo CTIS, y se leyeron una por una.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se quedan.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De los 137 estudios, </w:t>
      </w:r>
      <w:r>
        <w:rPr>
          <w:rFonts w:ascii="Times New Roman" w:hAnsi="Times New Roman"/>
          <w:b w:val="0"/>
          <w:i/>
          <w:sz w:val="22"/>
        </w:rPr>
        <w:t>95 tienen publicación recuperable</w:t>
      </w:r>
      <w:r>
        <w:rPr>
          <w:rFonts w:ascii="Times New Roman" w:hAnsi="Times New Roman"/>
          <w:b w:val="0"/>
          <w:i w:val="0"/>
          <w:sz w:val="22"/>
        </w:rPr>
        <w:t xml:space="preserve">: 92 artículos y 3 que solo existen como resumen de congreso. Los </w:t>
      </w:r>
      <w:r>
        <w:rPr>
          <w:rFonts w:ascii="Times New Roman" w:hAnsi="Times New Roman"/>
          <w:b w:val="0"/>
          <w:i/>
          <w:sz w:val="22"/>
        </w:rPr>
        <w:t>42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val="0"/>
          <w:i/>
          <w:sz w:val="22"/>
        </w:rPr>
        <w:t>71 de los 95 estudios recuperables (74,7 %)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val="0"/>
          <w:i/>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val="0"/>
          <w:i/>
          <w:sz w:val="22"/>
        </w:rPr>
        <w:t>no es una muestra aleatoria del conjunto</w:t>
      </w:r>
      <w:r>
        <w:rPr>
          <w:rFonts w:ascii="Times New Roman" w:hAnsi="Times New Roman"/>
          <w:b w:val="0"/>
          <w:i w:val="0"/>
          <w:sz w:val="22"/>
        </w:rPr>
        <w:t xml:space="preserve"> (Tabla 3). Contiene 6 de los 11 estudios comparativos, el </w:t>
      </w:r>
      <w:r>
        <w:rPr>
          <w:rFonts w:ascii="Times New Roman" w:hAnsi="Times New Roman"/>
          <w:b w:val="0"/>
          <w:i/>
          <w:sz w:val="22"/>
        </w:rPr>
        <w:t>54,5 %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val="0"/>
          <w:i/>
          <w:sz w:val="22"/>
        </w:rPr>
        <w:t>2016 y 2026</w:t>
      </w:r>
      <w:r>
        <w:rPr>
          <w:rFonts w:ascii="Times New Roman" w:hAnsi="Times New Roman"/>
          <w:b w:val="0"/>
          <w:i w:val="0"/>
          <w:sz w:val="22"/>
        </w:rPr>
        <w:t xml:space="preserve">, y el </w:t>
      </w:r>
      <w:r>
        <w:rPr>
          <w:rFonts w:ascii="Times New Roman" w:hAnsi="Times New Roman"/>
          <w:b w:val="0"/>
          <w:i/>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42 reportes de caso único (44,2 %)</w:t>
      </w:r>
      <w:r>
        <w:rPr>
          <w:rFonts w:ascii="Times New Roman" w:hAnsi="Times New Roman"/>
          <w:b w:val="0"/>
          <w:i w:val="0"/>
          <w:sz w:val="22"/>
        </w:rPr>
        <w:t xml:space="preserve">, 18 series de casos, 13 cohortes prospectivas, 7 ensayos aleatorizados, 4 ensayos no aleatorizados y 3 cohortes retrospectivas. Otros 8 no declaran su diseño de forma reconocible en el resumen. Los comparativos suman </w:t>
      </w:r>
      <w:r>
        <w:rPr>
          <w:rFonts w:ascii="Times New Roman" w:hAnsi="Times New Roman"/>
          <w:b w:val="0"/>
          <w:i/>
          <w:sz w:val="22"/>
        </w:rPr>
        <w:t>11 estudios, el 11,6 %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75,8 %</w:t>
      </w:r>
      <w:r>
        <w:rPr>
          <w:rFonts w:ascii="Times New Roman" w:hAnsi="Times New Roman"/>
          <w:b w:val="0"/>
          <w:i w:val="0"/>
          <w:sz w:val="22"/>
        </w:rP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52,6 %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38,9 %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97,9 %</w:t>
      </w:r>
      <w:r>
        <w:rPr>
          <w:rFonts w:ascii="Times New Roman" w:hAnsi="Times New Roman"/>
          <w:b w:val="0"/>
          <w:i w:val="0"/>
          <w:sz w:val="22"/>
        </w:rPr>
        <w:t>.</w:t>
      </w:r>
    </w:p>
    <w:p>
      <w:pPr>
        <w:jc w:val="both"/>
      </w:pPr>
      <w:r>
        <w:rPr>
          <w:rFonts w:ascii="Times New Roman" w:hAnsi="Times New Roman"/>
          <w:b w:val="0"/>
          <w:i w:val="0"/>
          <w:sz w:val="22"/>
        </w:rP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103 brazos del corpus vigente.</w:t>
      </w:r>
    </w:p>
    <w:p>
      <w:pPr>
        <w:jc w:val="both"/>
      </w:pPr>
      <w:r>
        <w:rPr>
          <w:rFonts w:ascii="Times New Roman" w:hAnsi="Times New Roman"/>
          <w:b w:val="0"/>
          <w:i w:val="0"/>
          <w:sz w:val="22"/>
        </w:rPr>
        <w:t>La completitud es desigual y, en el mejor de los casos, parcial. Los eventos adversos son lo que más se reporta con denominador (78,6 %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78,6 % al 89,9 %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pPr>
        <w:jc w:val="both"/>
      </w:pPr>
      <w:r>
        <w:rPr>
          <w:rFonts w:ascii="Times New Roman" w:hAnsi="Times New Roman"/>
          <w:b w:val="0"/>
          <w:i w:val="0"/>
          <w:sz w:val="22"/>
        </w:rPr>
        <w:t xml:space="preserve">Ese 68,9 % es, sin embargo, engañoso si se lee como disponibilidad para agregar. </w:t>
      </w:r>
      <w:r>
        <w:rPr>
          <w:rFonts w:ascii="Times New Roman" w:hAnsi="Times New Roman"/>
          <w:b w:val="0"/>
          <w:i/>
          <w:sz w:val="22"/>
        </w:rPr>
        <w:t>En 69 de los 103 brazos (67,0 %) no consta una definición operativa de éxito clínico</w:t>
      </w:r>
      <w:r>
        <w:rPr>
          <w:rFonts w:ascii="Times New Roman" w:hAnsi="Times New Roman"/>
          <w:b w:val="0"/>
          <w:i w:val="0"/>
          <w:sz w:val="22"/>
        </w:rP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12 de los 103 brazos no puede clasificarse —12 en que los dos revisores acordaron «NA» y 7 que siguen abiertos—, de modo que los recuentos por diseño son suelos sobre los 84 restantes. De esos 91, </w:t>
      </w:r>
      <w:r>
        <w:rPr>
          <w:rFonts w:ascii="Times New Roman" w:hAnsi="Times New Roman"/>
          <w:b w:val="0"/>
          <w:i/>
          <w:sz w:val="22"/>
        </w:rPr>
        <w:t>8 brazos son ensayos</w:t>
      </w:r>
      <w:r>
        <w:rPr>
          <w:rFonts w:ascii="Times New Roman" w:hAnsi="Times New Roman"/>
          <w:b w:val="0"/>
          <w:i w:val="0"/>
          <w:sz w:val="22"/>
        </w:rPr>
        <w:t xml:space="preserve"> (aleatorizados o no) y </w:t>
      </w:r>
      <w:r>
        <w:rPr>
          <w:rFonts w:ascii="Times New Roman" w:hAnsi="Times New Roman"/>
          <w:b w:val="0"/>
          <w:i/>
          <w:sz w:val="22"/>
        </w:rPr>
        <w:t>10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18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103</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103 brazos de esta literatura, </w:t>
      </w:r>
      <w:r>
        <w:rPr>
          <w:rFonts w:ascii="Times New Roman" w:hAnsi="Times New Roman"/>
          <w:b w:val="0"/>
          <w:i/>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137 estudios frente a las decenas que manejan las revisiones publicadas, y habrían sido 218 sin la restricción de idioma que se adoptó al final y sin los 46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137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seis y todas materiales. </w:t>
      </w:r>
      <w:r>
        <w:rPr>
          <w:rFonts w:ascii="Times New Roman" w:hAnsi="Times New Roman"/>
          <w:b w:val="0"/>
          <w:i/>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val="0"/>
          <w:i/>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rFonts w:ascii="Times New Roman" w:hAnsi="Times New Roman"/>
          <w:b w:val="0"/>
          <w:i/>
          <w:sz w:val="22"/>
        </w:rPr>
        <w:t>Quinta:</w:t>
      </w:r>
      <w:r>
        <w:rPr>
          <w:rFonts w:ascii="Times New Roman" w:hAnsi="Times New Roman"/>
          <w:b w:val="0"/>
          <w:i w:val="0"/>
          <w:sz w:val="22"/>
        </w:rPr>
        <w:t xml:space="preserve"> el texto completo se obtuvo para el 74,7 % de los estudios recuperables, y la fracción faltante está enriquecida en diseños comparativos, de manera que lo descrito subrepresenta la parte comparativa del campo. </w:t>
      </w:r>
      <w:r>
        <w:rPr>
          <w:rFonts w:ascii="Times New Roman" w:hAnsi="Times New Roman"/>
          <w:b w:val="0"/>
          <w:i/>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rFonts w:ascii="Times New Roman" w:hAnsi="Times New Roman"/>
          <w:b w:val="0"/>
          <w:i/>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95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76</w:t>
            </w:r>
          </w:p>
        </w:tc>
        <w:tc>
          <w:tcPr>
            <w:tcW w:type="dxa" w:w="3009"/>
          </w:tcPr>
          <w:p>
            <w:r/>
            <w:r>
              <w:rPr>
                <w:rFonts w:ascii="Times New Roman" w:hAnsi="Times New Roman"/>
                <w:b w:val="0"/>
                <w:i w:val="0"/>
                <w:sz w:val="18"/>
              </w:rPr>
              <w:t>80.0</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44.2</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18.9</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13.7</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8.4</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4.2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11</w:t>
            </w:r>
          </w:p>
        </w:tc>
        <w:tc>
          <w:tcPr>
            <w:tcW w:type="dxa" w:w="3009"/>
          </w:tcPr>
          <w:p>
            <w:r/>
            <w:r>
              <w:rPr>
                <w:rFonts w:ascii="Times New Roman" w:hAnsi="Times New Roman"/>
                <w:b w:val="0"/>
                <w:i w:val="0"/>
                <w:sz w:val="18"/>
              </w:rPr>
              <w:t>11.6</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58</w:t>
            </w:r>
          </w:p>
        </w:tc>
        <w:tc>
          <w:tcPr>
            <w:tcW w:type="dxa" w:w="3009"/>
          </w:tcPr>
          <w:p>
            <w:r/>
            <w:r>
              <w:rPr>
                <w:rFonts w:ascii="Times New Roman" w:hAnsi="Times New Roman"/>
                <w:b w:val="0"/>
                <w:i w:val="0"/>
                <w:sz w:val="18"/>
              </w:rPr>
              <w:t>61.1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Declara (n)</w:t>
            </w:r>
          </w:p>
        </w:tc>
        <w:tc>
          <w:tcPr>
            <w:tcW w:type="dxa" w:w="1805"/>
          </w:tcPr>
          <w:p>
            <w:r/>
            <w:r>
              <w:rPr>
                <w:rFonts w:ascii="Times New Roman" w:hAnsi="Times New Roman"/>
                <w:b/>
                <w:i w:val="0"/>
                <w:sz w:val="18"/>
              </w:rPr>
              <w:t>Declara (%)</w:t>
            </w:r>
          </w:p>
        </w:tc>
        <w:tc>
          <w:tcPr>
            <w:tcW w:type="dxa" w:w="1805"/>
          </w:tcPr>
          <w:p>
            <w:r/>
            <w:r>
              <w:rPr>
                <w:rFonts w:ascii="Times New Roman" w:hAnsi="Times New Roman"/>
                <w:b/>
                <w:i w:val="0"/>
                <w:sz w:val="18"/>
              </w:rPr>
              <w:t>No declara (n)</w:t>
            </w:r>
          </w:p>
        </w:tc>
        <w:tc>
          <w:tcPr>
            <w:tcW w:type="dxa" w:w="1805"/>
          </w:tcPr>
          <w:p>
            <w:r/>
            <w:r>
              <w:rPr>
                <w:rFonts w:ascii="Times New Roman" w:hAnsi="Times New Roman"/>
                <w:b/>
                <w:i w:val="0"/>
                <w:sz w:val="18"/>
              </w:rPr>
              <w:t>No declara (%)</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36</w:t>
            </w:r>
          </w:p>
        </w:tc>
        <w:tc>
          <w:tcPr>
            <w:tcW w:type="dxa" w:w="1805"/>
          </w:tcPr>
          <w:p>
            <w:r/>
            <w:r>
              <w:rPr>
                <w:rFonts w:ascii="Times New Roman" w:hAnsi="Times New Roman"/>
                <w:b w:val="0"/>
                <w:i w:val="0"/>
                <w:sz w:val="18"/>
              </w:rPr>
              <w:t>37.9</w:t>
            </w:r>
          </w:p>
        </w:tc>
        <w:tc>
          <w:tcPr>
            <w:tcW w:type="dxa" w:w="1805"/>
          </w:tcPr>
          <w:p>
            <w:r/>
            <w:r>
              <w:rPr>
                <w:rFonts w:ascii="Times New Roman" w:hAnsi="Times New Roman"/>
                <w:b w:val="0"/>
                <w:i w:val="0"/>
                <w:sz w:val="18"/>
              </w:rPr>
              <w:t>59</w:t>
            </w:r>
          </w:p>
        </w:tc>
        <w:tc>
          <w:tcPr>
            <w:tcW w:type="dxa" w:w="1805"/>
          </w:tcPr>
          <w:p>
            <w:r/>
            <w:r>
              <w:rPr>
                <w:rFonts w:ascii="Times New Roman" w:hAnsi="Times New Roman"/>
                <w:b w:val="0"/>
                <w:i w:val="0"/>
                <w:sz w:val="18"/>
              </w:rPr>
              <w:t>62.1</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58</w:t>
            </w:r>
          </w:p>
        </w:tc>
        <w:tc>
          <w:tcPr>
            <w:tcW w:type="dxa" w:w="1805"/>
          </w:tcPr>
          <w:p>
            <w:r/>
            <w:r>
              <w:rPr>
                <w:rFonts w:ascii="Times New Roman" w:hAnsi="Times New Roman"/>
                <w:b w:val="0"/>
                <w:i w:val="0"/>
                <w:sz w:val="18"/>
              </w:rPr>
              <w:t>61.1</w:t>
            </w:r>
          </w:p>
        </w:tc>
        <w:tc>
          <w:tcPr>
            <w:tcW w:type="dxa" w:w="1805"/>
          </w:tcPr>
          <w:p>
            <w:r/>
            <w:r>
              <w:rPr>
                <w:rFonts w:ascii="Times New Roman" w:hAnsi="Times New Roman"/>
                <w:b w:val="0"/>
                <w:i w:val="0"/>
                <w:sz w:val="18"/>
              </w:rPr>
              <w:t>37</w:t>
            </w:r>
          </w:p>
        </w:tc>
        <w:tc>
          <w:tcPr>
            <w:tcW w:type="dxa" w:w="1805"/>
          </w:tcPr>
          <w:p>
            <w:r/>
            <w:r>
              <w:rPr>
                <w:rFonts w:ascii="Times New Roman" w:hAnsi="Times New Roman"/>
                <w:b w:val="0"/>
                <w:i w:val="0"/>
                <w:sz w:val="18"/>
              </w:rPr>
              <w:t>38.9</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45</w:t>
            </w:r>
          </w:p>
        </w:tc>
        <w:tc>
          <w:tcPr>
            <w:tcW w:type="dxa" w:w="1805"/>
          </w:tcPr>
          <w:p>
            <w:r/>
            <w:r>
              <w:rPr>
                <w:rFonts w:ascii="Times New Roman" w:hAnsi="Times New Roman"/>
                <w:b w:val="0"/>
                <w:i w:val="0"/>
                <w:sz w:val="18"/>
              </w:rPr>
              <w:t>47.4</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52.6</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36.8</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63.2</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2.1</w:t>
            </w:r>
          </w:p>
        </w:tc>
        <w:tc>
          <w:tcPr>
            <w:tcW w:type="dxa" w:w="1805"/>
          </w:tcPr>
          <w:p>
            <w:r/>
            <w:r>
              <w:rPr>
                <w:rFonts w:ascii="Times New Roman" w:hAnsi="Times New Roman"/>
                <w:b w:val="0"/>
                <w:i w:val="0"/>
                <w:sz w:val="18"/>
              </w:rPr>
              <w:t>93</w:t>
            </w:r>
          </w:p>
        </w:tc>
        <w:tc>
          <w:tcPr>
            <w:tcW w:type="dxa" w:w="1805"/>
          </w:tcPr>
          <w:p>
            <w:r/>
            <w:r>
              <w:rPr>
                <w:rFonts w:ascii="Times New Roman" w:hAnsi="Times New Roman"/>
                <w:b w:val="0"/>
                <w:i w:val="0"/>
                <w:sz w:val="18"/>
              </w:rPr>
              <w:t>97.9</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71</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103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103 brazos</w:t>
            </w:r>
          </w:p>
        </w:tc>
        <w:tc>
          <w:tcPr>
            <w:tcW w:type="dxa" w:w="1805"/>
          </w:tcPr>
          <w:p>
            <w:r/>
            <w:r>
              <w:rPr>
                <w:rFonts w:ascii="Times New Roman" w:hAnsi="Times New Roman"/>
                <w:b/>
                <w:i w:val="0"/>
                <w:sz w:val="18"/>
              </w:rPr>
              <w:t>% de los 79 con texto completo</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71</w:t>
            </w:r>
          </w:p>
        </w:tc>
        <w:tc>
          <w:tcPr>
            <w:tcW w:type="dxa" w:w="1805"/>
          </w:tcPr>
          <w:p>
            <w:r/>
            <w:r>
              <w:rPr>
                <w:rFonts w:ascii="Times New Roman" w:hAnsi="Times New Roman"/>
                <w:b w:val="0"/>
                <w:i w:val="0"/>
                <w:sz w:val="18"/>
              </w:rPr>
              <w:t>68.9</w:t>
            </w:r>
          </w:p>
        </w:tc>
        <w:tc>
          <w:tcPr>
            <w:tcW w:type="dxa" w:w="1805"/>
          </w:tcPr>
          <w:p>
            <w:r/>
            <w:r>
              <w:rPr>
                <w:rFonts w:ascii="Times New Roman" w:hAnsi="Times New Roman"/>
                <w:b w:val="0"/>
                <w:i w:val="0"/>
                <w:sz w:val="18"/>
              </w:rPr>
              <w:t>87.3</w:t>
            </w:r>
          </w:p>
        </w:tc>
        <w:tc>
          <w:tcPr>
            <w:tcW w:type="dxa" w:w="1805"/>
          </w:tcPr>
          <w:p>
            <w:r/>
            <w:r>
              <w:rPr>
                <w:rFonts w:ascii="Times New Roman" w:hAnsi="Times New Roman"/>
                <w:b w:val="0"/>
                <w:i w:val="0"/>
                <w:sz w:val="18"/>
              </w:rPr>
              <w:t>97.2</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57</w:t>
            </w:r>
          </w:p>
        </w:tc>
        <w:tc>
          <w:tcPr>
            <w:tcW w:type="dxa" w:w="1805"/>
          </w:tcPr>
          <w:p>
            <w:r/>
            <w:r>
              <w:rPr>
                <w:rFonts w:ascii="Times New Roman" w:hAnsi="Times New Roman"/>
                <w:b w:val="0"/>
                <w:i w:val="0"/>
                <w:sz w:val="18"/>
              </w:rPr>
              <w:t>55.3</w:t>
            </w:r>
          </w:p>
        </w:tc>
        <w:tc>
          <w:tcPr>
            <w:tcW w:type="dxa" w:w="1805"/>
          </w:tcPr>
          <w:p>
            <w:r/>
            <w:r>
              <w:rPr>
                <w:rFonts w:ascii="Times New Roman" w:hAnsi="Times New Roman"/>
                <w:b w:val="0"/>
                <w:i w:val="0"/>
                <w:sz w:val="18"/>
              </w:rPr>
              <w:t>70.9</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72.8</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97.3</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81</w:t>
            </w:r>
          </w:p>
        </w:tc>
        <w:tc>
          <w:tcPr>
            <w:tcW w:type="dxa" w:w="1805"/>
          </w:tcPr>
          <w:p>
            <w:r/>
            <w:r>
              <w:rPr>
                <w:rFonts w:ascii="Times New Roman" w:hAnsi="Times New Roman"/>
                <w:b w:val="0"/>
                <w:i w:val="0"/>
                <w:sz w:val="18"/>
              </w:rPr>
              <w:t>78.6</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27.2</w:t>
            </w:r>
          </w:p>
        </w:tc>
        <w:tc>
          <w:tcPr>
            <w:tcW w:type="dxa" w:w="1805"/>
          </w:tcPr>
          <w:p>
            <w:r/>
            <w:r>
              <w:rPr>
                <w:rFonts w:ascii="Times New Roman" w:hAnsi="Times New Roman"/>
                <w:b w:val="0"/>
                <w:i w:val="0"/>
                <w:sz w:val="18"/>
              </w:rPr>
              <w:t>35.4</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103 brazos).</w:t>
      </w:r>
    </w:p>
    <w:tbl>
      <w:tblPr>
        <w:tblStyle w:val="TableGrid"/>
        <w:tblW w:type="auto" w:w="0"/>
        <w:jc w:val="center"/>
        <w:tblLook w:firstColumn="1" w:firstRow="1" w:lastColumn="0" w:lastRow="0" w:noHBand="0" w:noVBand="1" w:val="04A0"/>
      </w:tblPr>
      <w:tblGrid>
        <w:gridCol w:w="4513"/>
        <w:gridCol w:w="4513"/>
      </w:tblGrid>
      <w:tr>
        <w:tc>
          <w:tcPr>
            <w:tcW w:type="dxa" w:w="4513"/>
          </w:tcPr>
          <w:p>
            <w:r/>
            <w:r>
              <w:rPr>
                <w:rFonts w:ascii="Times New Roman" w:hAnsi="Times New Roman"/>
                <w:b/>
                <w:i w:val="0"/>
                <w:sz w:val="18"/>
              </w:rPr>
              <w:t>Requisito acumulado</w:t>
            </w:r>
          </w:p>
        </w:tc>
        <w:tc>
          <w:tcPr>
            <w:tcW w:type="dxa" w:w="4513"/>
          </w:tcPr>
          <w:p>
            <w:r/>
            <w:r>
              <w:rPr>
                <w:rFonts w:ascii="Times New Roman" w:hAnsi="Times New Roman"/>
                <w:b/>
                <w:i w:val="0"/>
                <w:sz w:val="18"/>
              </w:rPr>
              <w:t>Brazos que quedan</w:t>
            </w:r>
          </w:p>
        </w:tc>
      </w:tr>
      <w:tr>
        <w:tc>
          <w:tcPr>
            <w:tcW w:type="dxa" w:w="4513"/>
          </w:tcPr>
          <w:p>
            <w:r/>
            <w:r>
              <w:rPr>
                <w:rFonts w:ascii="Times New Roman" w:hAnsi="Times New Roman"/>
                <w:b w:val="0"/>
                <w:i w:val="0"/>
                <w:sz w:val="18"/>
              </w:rPr>
              <w:t>Brazos extraídos</w:t>
            </w:r>
          </w:p>
        </w:tc>
        <w:tc>
          <w:tcPr>
            <w:tcW w:type="dxa" w:w="4513"/>
          </w:tcPr>
          <w:p>
            <w:r/>
            <w:r>
              <w:rPr>
                <w:rFonts w:ascii="Times New Roman" w:hAnsi="Times New Roman"/>
                <w:b w:val="0"/>
                <w:i w:val="0"/>
                <w:sz w:val="18"/>
              </w:rPr>
              <w:t>103</w:t>
            </w:r>
          </w:p>
        </w:tc>
      </w:tr>
      <w:tr>
        <w:tc>
          <w:tcPr>
            <w:tcW w:type="dxa" w:w="4513"/>
          </w:tcPr>
          <w:p>
            <w:r/>
            <w:r>
              <w:rPr>
                <w:rFonts w:ascii="Times New Roman" w:hAnsi="Times New Roman"/>
                <w:b w:val="0"/>
                <w:i w:val="0"/>
                <w:sz w:val="18"/>
              </w:rPr>
              <w:t>Diseño comparativo</w:t>
            </w:r>
          </w:p>
        </w:tc>
        <w:tc>
          <w:tcPr>
            <w:tcW w:type="dxa" w:w="4513"/>
          </w:tcPr>
          <w:p>
            <w:r/>
            <w:r>
              <w:rPr>
                <w:rFonts w:ascii="Times New Roman" w:hAnsi="Times New Roman"/>
                <w:b w:val="0"/>
                <w:i w:val="0"/>
                <w:sz w:val="18"/>
              </w:rPr>
              <w:t>18</w:t>
            </w:r>
          </w:p>
        </w:tc>
      </w:tr>
      <w:tr>
        <w:tc>
          <w:tcPr>
            <w:tcW w:type="dxa" w:w="4513"/>
          </w:tcPr>
          <w:p>
            <w:r/>
            <w:r>
              <w:rPr>
                <w:rFonts w:ascii="Times New Roman" w:hAnsi="Times New Roman"/>
                <w:b w:val="0"/>
                <w:i w:val="0"/>
                <w:sz w:val="18"/>
              </w:rPr>
              <w:t>Numerador y denominador coherentes</w:t>
            </w:r>
          </w:p>
        </w:tc>
        <w:tc>
          <w:tcPr>
            <w:tcW w:type="dxa" w:w="4513"/>
          </w:tcPr>
          <w:p>
            <w:r/>
            <w:r>
              <w:rPr>
                <w:rFonts w:ascii="Times New Roman" w:hAnsi="Times New Roman"/>
                <w:b w:val="0"/>
                <w:i w:val="0"/>
                <w:sz w:val="18"/>
              </w:rPr>
              <w:t>5</w:t>
            </w:r>
          </w:p>
        </w:tc>
      </w:tr>
      <w:tr>
        <w:tc>
          <w:tcPr>
            <w:tcW w:type="dxa" w:w="4513"/>
          </w:tcPr>
          <w:p>
            <w:r/>
            <w:r>
              <w:rPr>
                <w:rFonts w:ascii="Times New Roman" w:hAnsi="Times New Roman"/>
                <w:b w:val="0"/>
                <w:i w:val="0"/>
                <w:sz w:val="18"/>
              </w:rPr>
              <w:t>Definición operativa del éxito</w:t>
            </w:r>
          </w:p>
        </w:tc>
        <w:tc>
          <w:tcPr>
            <w:tcW w:type="dxa" w:w="4513"/>
          </w:tcPr>
          <w:p>
            <w:r/>
            <w:r>
              <w:rPr>
                <w:rFonts w:ascii="Times New Roman" w:hAnsi="Times New Roman"/>
                <w:b w:val="0"/>
                <w:i w:val="0"/>
                <w:sz w:val="18"/>
              </w:rPr>
              <w:t>2</w:t>
            </w:r>
          </w:p>
        </w:tc>
      </w:tr>
      <w:tr>
        <w:tc>
          <w:tcPr>
            <w:tcW w:type="dxa" w:w="4513"/>
          </w:tcPr>
          <w:p>
            <w:r/>
            <w:r>
              <w:rPr>
                <w:rFonts w:ascii="Times New Roman" w:hAnsi="Times New Roman"/>
                <w:b w:val="0"/>
                <w:i w:val="0"/>
                <w:sz w:val="18"/>
              </w:rPr>
              <w:t>Desenlace atribuible a P. aeruginosa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Administración terapéutica, no profiláctica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Reporta una proporción, no un tiempo</w:t>
            </w:r>
          </w:p>
        </w:tc>
        <w:tc>
          <w:tcPr>
            <w:tcW w:type="dxa" w:w="4513"/>
          </w:tcPr>
          <w:p>
            <w:r/>
            <w:r>
              <w:rPr>
                <w:rFonts w:ascii="Times New Roman" w:hAnsi="Times New Roman"/>
                <w:b w:val="0"/>
                <w:i w:val="0"/>
                <w:sz w:val="18"/>
              </w:rPr>
              <w:t>0</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val="0"/>
          <w:i/>
          <w:sz w:val="18"/>
        </w:rPr>
        <w:t>Figura 2. Composición del cuerpo de evidencia recuperable (n = 95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su marca de tiempo.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137 estudios con su situación y sus informes agrupados, y de los 46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