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256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por dominios de los 12 comparativos con texto completo (RoB 2, ROBINS-I) está en evaluación;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251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by consensus. Domain-level risk-of-bias assessment of the 12 comparative studies with full text (RoB 2, ROBINS-I) is under way;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249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por consenso. El riesgo de sesgo por dominios de los 12 comparativos con texto completo (RoB 2, ROBINS-I) está en evaluación; no se aplicó GRADE.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242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by consensus. Domain-level risk-of-bias assessment of the 12 comparative studies with full text (RoB 2, ROBINS-I) is under way; GRADE was not applied.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