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clinical literature and its reporting completeness</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280; main text 7 075.</w:t>
      </w:r>
    </w:p>
    <w:p>
      <w:r>
        <w:rPr>
          <w:b/>
        </w:rPr>
        <w:t>Tables:</w:t>
      </w:r>
      <w:r>
        <w:t xml:space="preserve"> 6. </w:t>
      </w:r>
      <w:r>
        <w:rPr>
          <w:b/>
        </w:rPr>
        <w:t>Figures:</w:t>
      </w:r>
      <w:r>
        <w:t xml:space="preserve"> 2. </w:t>
      </w:r>
      <w:r>
        <w:rPr>
          <w:b/>
        </w:rPr>
        <w:t>Supplementary files:</w:t>
      </w:r>
      <w:r>
        <w:t xml:space="preserve"> 16 (S0–S15)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remained;233 reports formed 183 studies and, on reading the full texts, </w:t>
      </w:r>
      <w:r>
        <w:rPr>
          <w:b/>
        </w:rPr>
        <w:t>46 left the corpus</w:t>
      </w:r>
      <w:r>
        <w:t xml:space="preserve"> —protocols, preclinical models, and articles where </w:t>
      </w:r>
      <w:r>
        <w:rPr>
          <w:i/>
        </w:rPr>
        <w:t>P. aeruginosa</w:t>
      </w:r>
      <w:r>
        <w:t xml:space="preserve"> appears only in the product's declared spectrum—, leaving </w:t>
      </w:r>
      <w:r>
        <w:rPr>
          <w:b/>
        </w:rPr>
        <w:t>137</w:t>
      </w:r>
      <w:r>
        <w:t xml:space="preserve">, 95 with a retrievable publication. Single case reports, 44.2 %; comparative, 11.6 %; resistance class unassignable, 75.8 %. Full text was obtained for 71 (74.7 %), and what is missing concentrates 54.5 % of the comparative designs; the language criterion removed 35 studies more. In 69 of the 103 arms (67.0 %) no operational definition of clinical success is on record, and only 2 combine comparative design, numerator, denominator and a definition. Setting aside the one whose outcome is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the retrievability and the reporting completeness — that is,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the 124 studies that then had a retrievable publication —95 after the exclusions in section 3.1.1—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when:539 of 541 are adjudicated. The remaining 2 had been closed earlier by a mechanical rule applied to a comparison that was subsequently redone, so they carry no joint signature and are not counted as consensus. The 14 that remained open —10 on study design, where the form offered no option the reviewers needed, and 4 for data requiring the article to be re-read— were signed by consensus on 14 September 2026. The complete record, resolution by resolution, is supplied as supplementary material.</w:t>
      </w:r>
    </w:p>
    <w:p>
      <w:r>
        <w:t>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its retrievability and its reporting completeness, with three components measured — retrievability of the report (sections 3.1 and 3.2), structural reporting completeness (section 3.4) and outcome reporting completeness (section 3.5).</w:t>
      </w:r>
    </w:p>
    <w:p>
      <w:pPr>
        <w:pStyle w:val="Heading2"/>
      </w:pPr>
      <w:r>
        <w:t>2.7 Risk of bias and certainty</w:t>
      </w:r>
    </w:p>
    <w:p>
      <w:r>
        <w:t xml:space="preserve">Risk of bias is assessed </w:t>
      </w:r>
      <w:r>
        <w:rPr>
          <w:b/>
        </w:rPr>
        <w:t>only in studies with a comparative design and only in those whose full text was obtained</w:t>
      </w:r>
      <w:r>
        <w:t>: 12 of the 15 that the design adjudicated on the article identifies as comparative. Randomised trials with RoB 2 [@Sterne2019_rob2], and non-randomised trials and cohorts with ROBINS-I [@Sterne2016_robinsi]. The remaining study is a randomised trial without full text: it is not assessed, and neither does it receive an unfavourable judgement for that reason.</w:t>
      </w:r>
    </w:p>
    <w:p>
      <w:r>
        <w:t xml:space="preserve">The assessment is issued </w:t>
      </w:r>
      <w:r>
        <w:rPr>
          <w:b/>
        </w:rPr>
        <w:t>at domain level</w:t>
      </w:r>
      <w:r>
        <w:t>: one judgement per domain with each instrument's literal categories, without answering the signalling questions through which RoB 2 derives that judgement algorithmically. This is a deliberate simplification in a descriptive review with no pooled estimate, and it is declared so that no algorithmic reproducibility is attributed to it. Case reports and case series are not assessed with a formal instrument, by decision and not by impossibility: they have no comparator, no allocation and no structured follow-up, and a tool built on those assumptions yields a uniform high risk that reports on the instrument rather than on the study [@Murad2018_casereports; @Munn2020_jbicaseseries].</w:t>
      </w:r>
    </w:p>
    <w:p>
      <w:r>
        <w:rPr>
          <w:b/>
        </w:rPr>
        <w:t>Judgements are issued by consensus between the two authors, not in independent duplicate.</w:t>
      </w:r>
      <w:r>
        <w:t xml:space="preserve"> Unlike data extraction (section 2.6), this assessment admits no measure of inter-reviewer agreement, and none is reported. The limitation is stated in section 4.4.</w:t>
      </w:r>
    </w:p>
    <w:p>
      <w:r>
        <w:rPr>
          <w:b/>
        </w:rPr>
        <w:t>GRADE is not applied</w:t>
      </w:r>
      <w:r>
        <w:t>, and the reason does not depend on the above: it rates the certainty of a pooled estimate and this review presents none. Section 3.5 shows that only 2 of the 103 arms meet the minimum requirements for pooling, and none survives the eligibility criteria. Rating the certainty of a result that does not exist would be a formality, not an assessment [@Guyatt2011_grade].</w:t>
      </w:r>
    </w:p>
    <w:p>
      <w:r>
        <w:rPr>
          <w:b/>
        </w:rPr>
        <w:t>The assessment is under way: 8 of the 90 judgements are outstanding.</w:t>
      </w:r>
      <w:r>
        <w:t xml:space="preserve"> While any is outstanding this review reports no risk of bias, and no design-derived indicator substitutes for it.</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studies whose full text could not be obtained leave the corpus.</w:t>
      </w:r>
      <w:r>
        <w:t xml:space="preserve"> Adopted on 2 September 2026, again with screening already closed.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could not read</w:t>
      </w:r>
      <w:r>
        <w:t>, which is a property of the process, not of the study.</w:t>
      </w:r>
    </w:p>
    <w:p>
      <w:r>
        <w:t xml:space="preserve">Its measured effect: it excludes </w:t>
      </w:r>
      <w:r>
        <w:rPr>
          <w:b/>
        </w:rPr>
        <w:t>1 study</w:t>
      </w:r>
      <w:r>
        <w:t xml:space="preserve">, a randomised trial of which only a repository copy exists, in a pre-peer-review version and behind an automated-access barrier. Its potential effect is far larger, so declaring it is obligatory: </w:t>
      </w:r>
      <w:r>
        <w:rPr>
          <w:b/>
        </w:rPr>
        <w:t>applied to the 24 studies still without full text, the corpus would fall from 137 to 113 studies, comparative designs from 11 to 5 and randomised trials from 7 to 3</w:t>
      </w:r>
      <w:r>
        <w:t xml:space="preserve">, and the full-text retrieval rate would become 100 % </w:t>
      </w:r>
      <w:r>
        <w:rPr>
          <w:b/>
        </w:rPr>
        <w:t>by construction</w:t>
      </w:r>
      <w:r>
        <w:t>. That is, the retrieval bias measured in section 3.2 could no longer be measured, because the criterion eliminates it by definition instead of resolving it. This review does not apply it that way, and the reader should know that the 74.7 % figure coexists with an exclusion that, generalised, would empty it of meaning.</w:t>
      </w:r>
    </w:p>
    <w:p>
      <w:pPr>
        <w:pStyle w:val="Heading1"/>
      </w:pPr>
      <w:r>
        <w:t>3. Results</w:t>
      </w:r>
    </w:p>
    <w:p>
      <w:pPr>
        <w:pStyle w:val="Heading2"/>
      </w:pPr>
      <w:r>
        <w:t>3.1 Study selection</w:t>
      </w:r>
    </w:p>
    <w:p>
      <w:r>
        <w:t xml:space="preserve">The eight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 assessed for eligibility</w:t>
      </w:r>
      <w:r>
        <w:t xml:space="preserve">. On reading their full texts during extraction, </w:t>
      </w:r>
      <w:r>
        <w:rPr>
          <w:b/>
        </w:rPr>
        <w:t>39 of them left the corpus</w:t>
      </w:r>
      <w:r>
        <w:t xml:space="preserve"> and were excluded; the next subsection details them. The evidence base stands at </w:t>
      </w:r>
      <w:r>
        <w:rPr>
          <w:b/>
        </w:rPr>
        <w:t>145 studies</w:t>
      </w:r>
      <w:r>
        <w:t>, grouping 179 reports: 123 with a single report and 22 with several, up to a maximum of eleven reports of one trial.</w:t>
      </w:r>
    </w:p>
    <w:p>
      <w:pPr>
        <w:pStyle w:val="Heading2"/>
      </w:pPr>
      <w:r>
        <w:t>3.1.1 The 39 studies the screening admitted and that later left</w:t>
      </w:r>
    </w:p>
    <w:p>
      <w:r>
        <w:rPr>
          <w:b/>
        </w:rPr>
        <w:t>Twenty-nine left when judged on their publication.</w:t>
      </w:r>
      <w:r>
        <w:t xml:space="preserve"> They were excluded for eight reasons, and none is a difference of judgement: they are studies that fail what section 2.2 already required. </w:t>
      </w:r>
      <w:r>
        <w:rPr>
          <w:b/>
        </w:rPr>
        <w:t>Twenty-four</w:t>
      </w:r>
      <w:r>
        <w:t xml:space="preserve"> came from reading the article. </w:t>
      </w:r>
      <w:r>
        <w:rPr>
          <w:b/>
        </w:rPr>
        <w:t>Eleven</w:t>
      </w:r>
      <w:r>
        <w:t xml:space="preserve"> have </w:t>
      </w:r>
      <w:r>
        <w:rPr>
          <w:i/>
        </w:rPr>
        <w:t>P. aeruginosa</w:t>
      </w:r>
      <w:r>
        <w:t xml:space="preserve"> in no patient — it appears in the declared spectrum of the phage product, in the introduction or in the reference list; one of them names no organism at all. </w:t>
      </w:r>
      <w:r>
        <w:rPr>
          <w:b/>
        </w:rPr>
        <w:t>Four</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w:t>
      </w:r>
    </w:p>
    <w:p>
      <w:r>
        <w:t xml:space="preserve">The </w:t>
      </w:r>
      <w:r>
        <w:rPr>
          <w:b/>
        </w:rPr>
        <w:t>remaining four</w:t>
      </w:r>
      <w:r>
        <w:t xml:space="preserve"> were excluded on </w:t>
      </w:r>
      <w:r>
        <w:rPr>
          <w:b/>
        </w:rPr>
        <w:t>language</w:t>
      </w:r>
      <w:r>
        <w:t xml:space="preserve">, and were detected differently. All four appeared in the same Russian journal, and the criterion in section 2.5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exactly as the ten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applies to </w:t>
      </w:r>
      <w:r>
        <w:rPr>
          <w:b/>
        </w:rPr>
        <w:t>29 of the 95 extractable studies</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22 are the other side of that limitation, and they are </w:t>
      </w:r>
      <w:r>
        <w:rPr>
          <w:b/>
        </w:rPr>
        <w:t>23.7 %</w:t>
      </w:r>
      <w:r>
        <w:t xml:space="preserve"> of the 93 studies whose full text could be read. It is a floor, not a total: the 31 studies without full text could not be checked against anything.</w:t>
      </w:r>
    </w:p>
    <w:p>
      <w:r>
        <w:rPr>
          <w:b/>
        </w:rPr>
        <w:t>Another 17 studies left by a different route: their registry record.</w:t>
      </w:r>
      <w:r>
        <w:t xml:space="preserve"> The earlier 29 were judged on the article; these have no article. They entered the corpus because their exported record carried </w:t>
      </w:r>
      <w:r>
        <w:rPr>
          <w:b/>
        </w:rPr>
        <w:t>the title only</w:t>
      </w:r>
      <w:r>
        <w:t xml:space="preserve">, with no abstract and no MeSH terms, so the screening had nothing with which to rule them out. </w:t>
      </w:r>
      <w:r>
        <w:rPr>
          <w:b/>
        </w:rPr>
        <w:t>29 records</w:t>
      </w:r>
      <w:r>
        <w:t xml:space="preserve"> were counted in that situation, the full record of each was downloaded from ClinicalTrials.gov and from the European CTIS registry, and they were read one by one. </w:t>
      </w:r>
      <w:r>
        <w:rPr>
          <w:b/>
        </w:rPr>
        <w:t>12</w:t>
      </w:r>
      <w:r>
        <w:t xml:space="preserve"> name </w:t>
      </w:r>
      <w:r>
        <w:rPr>
          <w:i/>
        </w:rPr>
        <w:t>P. aeruginosa</w:t>
      </w:r>
      <w:r>
        <w:t xml:space="preserve"> among the organisms of the population they will treat and remain. </w:t>
      </w:r>
      <w:r>
        <w:rPr>
          <w:b/>
        </w:rPr>
        <w:t>8</w:t>
      </w:r>
      <w:r>
        <w:t xml:space="preserve"> state a different organism in their eligibility criteria — </w:t>
      </w:r>
      <w:r>
        <w:rPr>
          <w:i/>
        </w:rPr>
        <w:t>S. aureus</w:t>
      </w:r>
      <w:r>
        <w:t xml:space="preserve">, </w:t>
      </w:r>
      <w:r>
        <w:rPr>
          <w:i/>
        </w:rPr>
        <w:t>S. epidermidis</w:t>
      </w:r>
      <w:r>
        <w:t xml:space="preserve">, </w:t>
      </w:r>
      <w:r>
        <w:rPr>
          <w:i/>
        </w:rPr>
        <w:t>E. coli</w:t>
      </w:r>
      <w:r>
        <w:t xml:space="preserve">, ESBL-producing Enterobacteriaceae, nontuberculous mycobacteria — and two do not evaluate phage therapy in patients, one being a biobank and the other an observational study whose registered intervention is «none». The clearest case is a phage trial against </w:t>
      </w:r>
      <w:r>
        <w:rPr>
          <w:i/>
        </w:rPr>
        <w:t>E. coli</w:t>
      </w:r>
      <w:r>
        <w:t xml:space="preserve"> in children with diarrhoea, whose indexed title — «Antibacterial Treatment Against Diarrhea in Oral Rehydration Solution» — does not let you tell.</w:t>
      </w:r>
    </w:p>
    <w:p>
      <w:r>
        <w:t xml:space="preserve">The </w:t>
      </w:r>
      <w:r>
        <w:rPr>
          <w:b/>
        </w:rPr>
        <w:t>remaining 7</w:t>
      </w:r>
      <w:r>
        <w:t xml:space="preserve"> state no organism at all: their record allows the criterion to be verified neither for nor against. Excluding them required a protocol amendment, because no code in the vocabulary said that. </w:t>
      </w:r>
      <w:r>
        <w:rPr>
          <w:b/>
        </w:rPr>
        <w:t>NOORG</w:t>
      </w:r>
      <w:r>
        <w:t xml:space="preserve"> is the eleventh, and a sibling of NOREC: the other codes exclude for what the study says, NOREC for what this review could not read, and NOORG for what the registry does not declare. The last two are properties of the process, not of the study. The amendment and the 7 exclusions were signed by both authors on 14 September 2026, and what they cost should be said: these seven studies are part of the evidence for what this work argues, so they leave the total but are counted one by one in Figure 1 and in the exclusions annex. The 29 records travel with the supplementary material, and the literal sentence of the registry supporting each judgement is filed beside them.</w:t>
      </w:r>
    </w:p>
    <w:p>
      <w:r>
        <w:t xml:space="preserve">Reading them also surfaced a </w:t>
      </w:r>
      <w:r>
        <w:rPr>
          <w:b/>
        </w:rPr>
        <w:t>duplicate</w:t>
      </w:r>
      <w:r>
        <w:t>: the Phage4Cure-001 trial is in CTIS under two identifiers, one per protocol version, and had entered as two studies because their titles differ by two words. It is a single trial, verified and signed, and is counted once.</w:t>
      </w:r>
    </w:p>
    <w:p>
      <w:r>
        <w:t xml:space="preserve">Of the 145 studies, </w:t>
      </w:r>
      <w:r>
        <w:rPr>
          <w:b/>
        </w:rPr>
        <w:t>95 have a retrievable publication</w:t>
      </w:r>
      <w:r>
        <w:t xml:space="preserve">: 92 articles and 3 that exist only as conference abstracts. The remaining </w:t>
      </w:r>
      <w:r>
        <w:rPr>
          <w:b/>
        </w:rPr>
        <w:t>50 are trial registry entries alone</w:t>
      </w:r>
      <w:r>
        <w:t>, with no locatable associated publication. That figure by itself describes a field in which more than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71 of the 95 retrievable studies (74.7 %)</w:t>
      </w:r>
      <w:r>
        <w:t xml:space="preserve"> through legitimate open-access routes. The remaining 24 have not been obtained. Their availability was re-checked on 2 September 2026 against three independent indexes — Europe PMC, OpenAlex and Semantic Scholar — and </w:t>
      </w:r>
      <w:r>
        <w:rPr>
          <w:b/>
        </w:rPr>
        <w:t>none of the 24 has an open-access copy today</w:t>
      </w:r>
      <w:r>
        <w:t>. They were not requested through interlibrary loan or from the authors: the documentary gap this review declares is not mitigated by any further route, which is why it is reported as a limit and not as something pending.</w:t>
      </w:r>
    </w:p>
    <w:p>
      <w:r>
        <w:t xml:space="preserve">The unretrieved fraction </w:t>
      </w:r>
      <w:r>
        <w:rPr>
          <w:b/>
        </w:rPr>
        <w:t>is not a random sample of the whole</w:t>
      </w:r>
      <w:r>
        <w:t xml:space="preserve"> (Table 3). It contains 6 of the 11 comparative studies, </w:t>
      </w:r>
      <w:r>
        <w:rPr>
          <w:b/>
        </w:rPr>
        <w:t>54.5 %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95 retrievable studies were published between </w:t>
      </w:r>
      <w:r>
        <w:rPr>
          <w:b/>
        </w:rPr>
        <w:t>2016 and 2026</w:t>
      </w:r>
      <w:r>
        <w:t xml:space="preserve">, and </w:t>
      </w:r>
      <w:r>
        <w:rPr>
          <w:b/>
        </w:rPr>
        <w:t>80.0 %</w:t>
      </w:r>
      <w:r>
        <w:t xml:space="preserve"> since 2020. This is a young and rapidly expanding evidence base (Table 1).</w:t>
      </w:r>
    </w:p>
    <w:p>
      <w:r>
        <w:t xml:space="preserve">Its composition by design is what a rescue literature produces, not what a synthesis of efficacy needs: </w:t>
      </w:r>
      <w:r>
        <w:rPr>
          <w:b/>
        </w:rPr>
        <w:t>42 single case reports (44.2 %)</w:t>
      </w:r>
      <w:r>
        <w:t xml:space="preserve">, 18 case series, 13 prospective cohorts, 7 randomised trials, 4 non-randomised trials and 3 retrospective cohorts. A further 8 do not state a recognisable design in the abstract. Comparative designs total </w:t>
      </w:r>
      <w:r>
        <w:rPr>
          <w:b/>
        </w:rPr>
        <w:t>11 studies, 11.6 %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75.8 %</w:t>
      </w:r>
      <w:r>
        <w:t xml:space="preserve"> of studies: 62.1 % do not mention it at all and a further 13.7 %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52.6 %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38.9 %</w:t>
      </w:r>
      <w:r>
        <w:t>.</w:t>
      </w:r>
    </w:p>
    <w:p>
      <w:pPr>
        <w:pStyle w:val="ListBullet"/>
      </w:pPr>
      <w:r>
        <w:t xml:space="preserve">Fulfilment of the </w:t>
      </w:r>
      <w:r>
        <w:rPr>
          <w:b/>
        </w:rPr>
        <w:t>DTR</w:t>
      </w:r>
      <w:r>
        <w:t xml:space="preserve"> criterion (difficult-to-treat resistance) is not stated in </w:t>
      </w:r>
      <w:r>
        <w:rPr>
          <w:b/>
        </w:rPr>
        <w:t>97.9 %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132 extracted arms.</w:t>
      </w:r>
    </w:p>
    <w:p>
      <w:r>
        <w:t>Completeness is uneven and, at best, partial. Adverse events are the outcome most often reported with a denominator (78.6 % of arms) and emergence of phage resistance the least (27.2 %), despite being the outcome that determines whether the intervention retains its usefulness. Those percentages are computed over all 103 arms and therefore include 24 from studies whose full text has not been retrieved: of an article one has not been able to read, one cannot assert that it is silent. Over the 79 readable arms the figures rise — from 74.5 % to 88.6 % for adverse events, from 25.5 % to 35.4 % for resistance — and Table 5 gives both columns so the reader can separate the literature's silence from this review's own documentary gap. Clinical success, the outcome that published syntheses pool, is reported with numerator and denominator in 68.9 % of arms. Two arms report a numerator larger than their denominator — thirteen clinical successes in one patient, and five adverse events in four — and are flagged as reporting errors, not read as proportions.</w:t>
      </w:r>
    </w:p>
    <w:p>
      <w:r>
        <w:t xml:space="preserve">That 68.0 % is misleading, however, if read as availability for pooling. </w:t>
      </w:r>
      <w:r>
        <w:rPr>
          <w:b/>
        </w:rPr>
        <w:t>In 69 of the 103 arms (67.0 %) no operational definition of clinical success is on record</w:t>
      </w:r>
      <w:r>
        <w:t>; over the 79 readable arms, in 45 (57.0 %). In 48 of them the reviewers established this by reading the article: 47 state a number of patients with a "good outcome" without saying what had to be observed to count one, and 1 left the field empty. In the remaining 21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 xml:space="preserve">Study design is not always on record either: in 12 of the 103 arms it cannot be classified — 13 where both reviewers agreed on "NA" and 8 still open — so the design counts are floors over the remaining 82. Of those 91, </w:t>
      </w:r>
      <w:r>
        <w:rPr>
          <w:b/>
        </w:rPr>
        <w:t>8 arms are trials</w:t>
      </w:r>
      <w:r>
        <w:t xml:space="preserve"> (randomised or not) and </w:t>
      </w:r>
      <w:r>
        <w:rPr>
          <w:b/>
        </w:rPr>
        <w:t>10 are cohorts</w:t>
      </w:r>
      <w:r>
        <w:t>. Section 3.3 and Table 1 call only the trials comparative, which is why the figure there is 23 studies; when this section says comparative it also includes the cohorts, and there are 18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103 arms</w:t>
      </w:r>
      <w:r>
        <w:t>. The next two are the eligibility criteria this review itself declares in section 2.2, and none of those 3 survives them.</w:t>
      </w:r>
    </w:p>
    <w:p>
      <w:r>
        <w:t xml:space="preserve">The first is that the outcome be attributable to </w:t>
      </w:r>
      <w:r>
        <w:rPr>
          <w:i/>
        </w:rPr>
        <w:t>P. aeruginosa</w:t>
      </w:r>
      <w:r>
        <w:t xml:space="preserve">. Section 2.2 admits multi-pathogen studies only when the subgroup is separable, and in one of the three the extraction records that the article does not separate the data: its numerator counts patients of several species. Two remain. The second is that administration be therapeutic. The next of the three is a trial </w:t>
      </w:r>
      <w:r>
        <w:rPr>
          <w:i/>
        </w:rPr>
        <w:t>preventing</w:t>
      </w:r>
      <w:r>
        <w:t xml:space="preserve"> ventilator-associated pneumonia, and its outcome — absence of incident pneumonia — does not measure the same thing as cure of an established infection. One remains.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103 arms of this literature, </w:t>
      </w:r>
      <w:r>
        <w:rPr>
          <w:b/>
        </w:rPr>
        <w:t>not one meets both the arithmetic conditions and the eligibility criteria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eight sources, no language restriction, regional literature and trial registers included. The result is 145 studies against the dozens handled by published reviews, and would have been 219 without the language restriction adopted at the end and without the 39 that later left.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42 of 137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eight sources across two separate streams —Scopus in two arms—,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six, and all are material. </w:t>
      </w:r>
      <w:r>
        <w:rPr>
          <w:b/>
        </w:rPr>
        <w:t>First</w:t>
      </w:r>
      <w:r>
        <w:t xml:space="preserve">, the corpus excludes one study for the sole reason that its full text could not be read (section 2.9); applied consistently to the 24 others without text, that criterion would empty the measurement of retrieval bias of content. It is declared here because an exclusion that depends on the reviewer's access, rather than on the study's content, is not comparable with the rest. </w:t>
      </w:r>
      <w:r>
        <w:rPr>
          <w:b/>
        </w:rPr>
        <w:t>Second</w:t>
      </w:r>
      <w:r>
        <w:t xml:space="preserve">, the search did not query Embase or the WHO ICTRP, which reduces coverage of case series and conference abstracts and leaves the register stream limited to the United States and the European Union. </w:t>
      </w:r>
      <w:r>
        <w:rPr>
          <w:b/>
        </w:rPr>
        <w:t>Third</w:t>
      </w:r>
      <w:r>
        <w:t xml:space="preserve">, it was limited to publications from 2016 to 2026, so it describes recent output rather than the whole field. </w:t>
      </w:r>
      <w:r>
        <w:rPr>
          <w:b/>
        </w:rPr>
        <w:t>Fourth</w:t>
      </w:r>
      <w:r>
        <w:t xml:space="preserve">, this report describes how completely outcomes are reported (section 3.5) but presents no efficacy estimates and no GRADE certainty (section 2.7): it is a characterisation of the evidence base, not a synthesis of its results. Risk of bias is assessed only in the comparative studies with full text, at domain level and by consensus, so it inherits the retrieval bias and admits no measure of inter-reviewer agreement. </w:t>
      </w:r>
      <w:r>
        <w:rPr>
          <w:b/>
        </w:rPr>
        <w:t>Fifth</w:t>
      </w:r>
      <w:r>
        <w:t xml:space="preserve">, full text was obtained for 74.7 % of the retrievable studies, and the missing fraction is enriched in comparative designs, so what is described under-represents the comparative part of the field. </w:t>
      </w:r>
      <w:r>
        <w:rPr>
          <w:b/>
        </w:rPr>
        <w:t>Sixth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eight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queries,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95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103 arms).</w:t>
      </w:r>
    </w:p>
    <w:p>
      <w:r>
        <w:rPr>
          <w:b/>
        </w:rPr>
        <w:t>Table 6.</w:t>
      </w:r>
      <w:r>
        <w:t xml:space="preserve"> Arms surviving each requirement for a pooled proportion of clinical success (n = 103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95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Adjudicated extraction: one value per cell, arm by arm, after consensus. Underpins section 3.5 and Tables 5 and 6.</w:t>
      </w:r>
    </w:p>
    <w:p>
      <w:pPr>
        <w:pStyle w:val="ListBullet"/>
      </w:pPr>
      <w:r>
        <w:rPr>
          <w:b/>
        </w:rPr>
        <w:t>S15.</w:t>
      </w:r>
      <w:r>
        <w:t xml:space="preserve"> Provenance of every cell in S14: agreement, consensus, single reading, or still open.</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