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S1. Lista de comprobación PRISMA 2020</w:t>
      </w:r>
    </w:p>
    <w:p>
      <w:r>
        <w:rPr>
          <w:i/>
          <w:sz w:val="19"/>
        </w:rPr>
        <w:t>Fagoterapia en Pseudomonas aeruginosa multirresistente. Estado a 11 de agosto de 2026.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94"/>
          </w:tcPr>
          <w:p>
            <w:r/>
            <w:r>
              <w:rPr>
                <w:b/>
                <w:sz w:val="18"/>
              </w:rPr>
              <w:t>Ítem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Qué exige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18"/>
              </w:rPr>
              <w:t>Dónde está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Título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Identifica el informe como revisión sistemática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Título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Resumen estructurado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Ver lista PRISMA for Abstracts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Resumen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Justificación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Base racional en el contexto de lo conocido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§1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Objetivos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Pregunta explícita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§1, último párrafo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Criterios de elegibilidad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Y cómo se agruparon los estudios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§2.2, incluido el criterio de idioma (inglés o español), verificado informe por informe en S9 y sobre el texto completo en S10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Fuentes de información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Todas, con fecha de la última búsqueda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Estrategia de búsqueda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Literal, para cada base y registro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§2.3 y S2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Proceso de selección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Cuántos revisores, cómo trabajaron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§2.4; la etapa 1 aplica reglas deterministas y las etapas 2 y 3 las emitió un modelo de lenguaje (Claude Opus 5) como revisor único, sin duplicación independiente y sin adjudicación humana de decisiones individuales. Declarado en §2.4 y como limitación en §4.4; el registro completo, con modelo y marca de tiempo por decisión, está en S3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Proceso de extracción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Cuántos revisores, herramientas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§2.6; extracción por duplicado en curso, no concluida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10a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Variables de desenlace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Lista y definiciones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§2.2 las lista; S4 no contiene definiciones de desenlace porque ningún resumen del corpus las declara. Las definiciones de los textos completos leídos se discuten en §3.5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10b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Otras variables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Lista y definiciones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S4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Riesgo de sesgo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Herramienta, cuántos revisores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§2.7; depende del texto completo. Se reportará con la extracción definitiva. Declarado en §4.4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Medidas del efecto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Para cada desenlace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Este informe no presenta estimaciones de efecto; ver §2.6 y §3.5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13a-f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Métodos de síntesis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Incluida la decisión de no agrupar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§2.8 y §3.5, con la justificación de por qué no se agrupa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Sesgo de publicación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Métodos de evaluación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§4.3 documenta 60 de 184 estudios registrados sin publicación; no se aplicaron pruebas estadísticas por no haber síntesis cuantitativa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Certeza de la evidencia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GRADE u otro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§2.7; pendiente de la extracción definitiva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16a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Selección de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Flujo con números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§3.1 y Figura 1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16b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Excluidos en texto completo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Con motivos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S3 recoge los motivos de las etapas 1 a 3 con vocabulario cerrado; la exclusión en texto completo se producirá con la extracción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Características de los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De cada uno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Tabla 1, y listado completo en S5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Riesgo de sesgo por estudio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Pendiente; §4.4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Resultados de los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Ver §2.6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20a-d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Resultados de la síntesis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§3.3 a §3.5; la síntesis es de estructura y reporte, no de eficacia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Sesgos de publicación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§4.3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Certeza de la evidencia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Pendiente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23a-d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Discusión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Interpretación, limitaciones, implicaciones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Registro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Número o declaración de no registro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 (declarado)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§2.1 declara explícitamente que NO está registrada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Protocolo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Dónde consultarlo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Repositorio del proyecto; no depositado en registro público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24c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Enmiendas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 (una enmienda declarada)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§2.9 declara la restricción de idioma adoptada el 11-08-2026, con el cribado ya cerrado, y mide su impacto: 35 estudios eliminados, 18 de ellos comparativos y uno del conjunto de control positivo. El registro de decisiones es solo-anexar y permite reconstruir el corpus previo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Apoyo económico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26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Conflictos de interés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Disponibilidad de datos y código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 y S3–S6</w:t>
            </w:r>
          </w:p>
        </w:tc>
      </w:tr>
    </w:tbl>
    <w:p/>
    <w:p>
      <w:pPr>
        <w:pStyle w:val="Heading2"/>
      </w:pPr>
      <w:r>
        <w:t>Resumen del estado</w:t>
      </w:r>
    </w:p>
    <w:p>
      <w:pPr>
        <w:pStyle w:val="ListBullet"/>
      </w:pPr>
      <w:r>
        <w:t>CUMPLE: 18 ítems</w:t>
      </w:r>
    </w:p>
    <w:p>
      <w:pPr>
        <w:pStyle w:val="ListBullet"/>
      </w:pPr>
      <w:r>
        <w:t>PARCIAL: 7 ítems</w:t>
      </w:r>
    </w:p>
    <w:p>
      <w:pPr>
        <w:pStyle w:val="ListBullet"/>
      </w:pPr>
      <w:r>
        <w:t>NO CUMPLE: 6 ítems</w:t>
      </w:r>
    </w:p>
    <w:p>
      <w:r>
        <w:rPr>
          <w:i/>
          <w:color w:val="444444"/>
          <w:sz w:val="17"/>
        </w:rPr>
        <w:t>Los ítems marcados NO CUMPLE dependen todos de la extracción por duplicado, que está en curso. Se declaran como limitación en §4.4 del manuscrito en lugar de presentarse como cumplidos.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