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structure and verifiability of the clinical evidence base</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299; main text 4 284.</w:t>
      </w:r>
    </w:p>
    <w:p>
      <w:r>
        <w:rPr>
          <w:b/>
        </w:rPr>
        <w:t>Tables:</w:t>
      </w:r>
      <w:r>
        <w:t xml:space="preserve"> 4. </w:t>
      </w:r>
      <w:r>
        <w:rPr>
          <w:b/>
        </w:rPr>
        <w:t>Figures:</w:t>
      </w:r>
      <w:r>
        <w:t xml:space="preserve"> 2. </w:t>
      </w:r>
      <w:r>
        <w:rPr>
          <w:b/>
        </w:rPr>
        <w:t>Supplementary files:</w:t>
      </w:r>
      <w:r>
        <w:t xml:space="preserve"> 14 (S0–S13) plus a guide.</w:t>
      </w:r>
    </w:p>
    <w:p>
      <w:pPr>
        <w:pStyle w:val="Heading1"/>
      </w:pPr>
      <w:r>
        <w:t>Abstract</w:t>
      </w:r>
    </w:p>
    <w:p>
      <w:r>
        <w:rPr>
          <w:b/>
        </w:rPr>
        <w:t>Background.</w:t>
      </w:r>
      <w:r>
        <w:t xml:space="preserve"> Carbapenem-resistant </w:t>
      </w:r>
      <w:r>
        <w:rPr>
          <w:i/>
        </w:rPr>
        <w:t>Pseudomonas aeruginosa</w:t>
      </w:r>
      <w:r>
        <w:t xml:space="preserve"> is listed as a </w:t>
      </w:r>
      <w:r>
        <w:rPr>
          <w:b/>
        </w:rPr>
        <w:t>high</w:t>
      </w:r>
      <w:r>
        <w:t>-priority pathogen in the WHO 2024 list, having been critical priority in the 2017 list. Several recent syntheses have pooled phage therapy outcomes into overall success proportions. Doing so assumes this evidence base can be aggregated, and that assumption has never been examined.</w:t>
      </w:r>
    </w:p>
    <w:p>
      <w:r>
        <w:rPr>
          <w:b/>
        </w:rPr>
        <w:t>Objectives.</w:t>
      </w:r>
      <w:r>
        <w:t xml:space="preserve"> To delimit the clinical literature on phage therapy for resistant </w:t>
      </w:r>
      <w:r>
        <w:rPr>
          <w:i/>
        </w:rPr>
        <w:t>P. aeruginosa</w:t>
      </w:r>
      <w:r>
        <w:t xml:space="preserve"> reproducibly, and to determine whether its structure and reporting completeness permit a quantitative synthesis of efficacy.</w:t>
      </w:r>
    </w:p>
    <w:p>
      <w:r>
        <w:rPr>
          <w:b/>
        </w:rPr>
        <w:t>Methods.</w:t>
      </w:r>
      <w:r>
        <w:t xml:space="preserve"> Systematic review following PRISMA 2020, with separate streams for databases and trial registers. Nine sources were searched without date restriction, including the regional databases BVS and SciELO. Only reports in English or Spanish were eligible, a criterion adopted after screening closed and verified report by report, including against the full text of every retrieved PDF. The unit of inclusion was the study, not the report. </w:t>
      </w:r>
      <w:r>
        <w:rPr>
          <w:b/>
        </w:rPr>
        <w:t>Title and abstract screening was performed by a large language model acting as sole reviewer, without independent duplication</w:t>
      </w:r>
      <w:r>
        <w:t>; data extraction is done by hand and in duplicate.</w:t>
      </w:r>
    </w:p>
    <w:p>
      <w:r>
        <w:rPr>
          <w:b/>
        </w:rPr>
        <w:t>Results.</w:t>
      </w:r>
      <w:r>
        <w:t xml:space="preserve"> From 23 057 records, 17 129 unique reports remained. Full-text assessment covered 233 reports, which grouped into 184 studies; 124 of these have a retrievable publication. Single case reports account for 39.5 % and only 18.5 % are comparative designs. Geographic origin is not stated in 61.3 % and resistance class cannot be assigned in 80.6 %. Full text was obtained for 91 studies (73.4 %); the remaining fraction concentrates 47.8 % of the comparative designs. The language criterion removed 35 studies, 18 of them comparative.</w:t>
      </w:r>
    </w:p>
    <w:p>
      <w:r>
        <w:rPr>
          <w:b/>
        </w:rPr>
        <w:t>Conclusions.</w:t>
      </w:r>
      <w:r>
        <w:t xml:space="preserve"> This evidence base is simultaneously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though its position has moved: the 2017 list placed it in the critical tier [@Tacconelli2018_who] and the 2024 update downgraded the carbapenem-resistant form to high priority [@WHO2024_bppl]. The downgrade does not lessen the clinical problem an isolate with no options poses, but it does mean urgency should not be argued from a superseded classification.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and reporting completeness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This review was conducted following the PRISMA 2020 statement [@Page2021_prisma]. The completed checklist accompanies the manuscript as supplementary material.</w:t>
      </w:r>
    </w:p>
    <w:p>
      <w:r>
        <w:rPr>
          <w:b/>
        </w:rPr>
        <w:t>This review is not registered</w:t>
      </w:r>
      <w:r>
        <w:t xml:space="preserve"> in PROSPERO or OSF. The absence is declared rather than omitted because prospective registration guards against </w:t>
      </w:r>
      <w:r>
        <w:rPr>
          <w:i/>
        </w:rPr>
        <w:t>post hoc</w:t>
      </w:r>
      <w:r>
        <w:t xml:space="preserve"> modification of outcomes, and its absence is information readers need in order to calibrate the review. The protocol, the methodological decisions and their dates were recorded immutably in the working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w:t>
      </w:r>
    </w:p>
    <w:p>
      <w:pPr>
        <w:pStyle w:val="Heading2"/>
      </w:pPr>
      <w:r>
        <w:t>2.3 Information sources and search strategy</w:t>
      </w:r>
    </w:p>
    <w:p>
      <w:r>
        <w:t xml:space="preserve">Nine sources were searched across the two streams PRISMA 2020 requires to be kept separate. As </w:t>
      </w:r>
      <w:r>
        <w:rPr>
          <w:b/>
        </w:rPr>
        <w:t>bibliographic databases</w:t>
      </w:r>
      <w:r>
        <w:t xml:space="preserve">: PubMed, Scopus in two arms (one organism-first, one intervention-first), Cochrane CENTRAL, BVS including LILACS, CUMED, BINACIS and MedCarib, and SciELO. As </w:t>
      </w:r>
      <w:r>
        <w:rPr>
          <w:b/>
        </w:rPr>
        <w:t>trial registers</w:t>
      </w:r>
      <w:r>
        <w:t>: ClinicalTrials.gov, EudraCT and CTIS. No language, date or publication-type restriction was applied. The final run was on 10 August 2026.</w:t>
      </w:r>
    </w:p>
    <w:p>
      <w:r>
        <w:rPr>
          <w:b/>
        </w:rPr>
        <w:t>The search strings were designed and run by D.V.</w:t>
      </w:r>
      <w:r>
        <w:t>, an author of this review, querying each interface directly. They were neither generated nor executed by the language model whose involvement is declared in section 2.4: what to search for, in which sources and with what syntax was an author decision, taken before screening and fixed in writing. Full search strings are supplied as supplementary material, with the literal syntax of each interface, the number of hits and the date each was run, so that anyone can repeat them. Including BVS and SciELO was a deliberate choice. Clinical experience with phages published in Eastern Europe and Latin America is systematically under-represented in PubMed and Scopus, and leaving it out would have tilted the review towards the anglophone literature without saying so.</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instead of being excluded.</w:t>
      </w:r>
    </w:p>
    <w:p>
      <w:r>
        <w:rPr>
          <w:b/>
        </w:rPr>
        <w:t>Who made each decision.</w:t>
      </w:r>
      <w:r>
        <w:t xml:space="preserve"> Stage 1 is deterministic: a script executes it and every exclusion names the rule that fired, so anyone can re-run it and obtain the same result. Stages 2 and 3, the ones that require judgement, </w:t>
      </w:r>
      <w:r>
        <w:rPr>
          <w:b/>
        </w:rPr>
        <w:t>were performed by a large language model — Claude Opus 5, Anthropic — acting as sole reviewer, without independent duplication</w:t>
      </w:r>
      <w:r>
        <w:t>:13 917 title decisions between 4 and 10 August 2026 and 460 abstract decisions on 5 August. The model received the title, abstract and metadata of each record, and could only choose among the six codes of the closed vocabulary. Every decision was logged with its reason, the model that issued it and its timestamp, in an append-only log supplied in full (S3).</w:t>
      </w:r>
    </w:p>
    <w:p>
      <w:r>
        <w:rPr>
          <w:b/>
        </w:rPr>
        <w:t>No human reviewer adjudicated individual screening decisions, and agreement between the model and a human reader was not measured.</w:t>
      </w:r>
      <w:r>
        <w:t xml:space="preserve"> That check is what duplicate screening provides, and it does not exist here. What does exist, and is what supports the claim that screening missed no eligible studies, is the positive-control audit of section 2.5: after each stage it was verified that none of the 40 studies known in advance lost all of its reports. A positive-control audit bounds false negatives over known studies; it does not bound them over unknown ones, and says nothing about false positives. Readers should calibrate the selection with that caveat, and section 4.4 records it as a limitation.</w:t>
      </w:r>
    </w:p>
    <w:p>
      <w:r>
        <w:t>Data extraction, by contrast, is performed by the two authors in duplicate and independently, with no involvement of the model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pPr>
        <w:pStyle w:val="Heading2"/>
      </w:pPr>
      <w:r>
        <w:t>2.6 Data extraction</w:t>
      </w:r>
    </w:p>
    <w:p>
      <w:r>
        <w:t xml:space="preserve">The extraction form, with 31 variables and controlled vocabularies, was piloted on five studies before use. Extraction is planned to be </w:t>
      </w:r>
      <w:r>
        <w:rPr>
          <w:b/>
        </w:rPr>
        <w:t>independent and in duplicate</w:t>
      </w:r>
      <w:r>
        <w:t xml:space="preserve"> between the two reviewers, with disagreements resolved by consensus and agreement quantified variable by variable (Cohen's kappa).</w:t>
      </w:r>
    </w:p>
    <w:p>
      <w:r>
        <w:rPr>
          <w:b/>
        </w:rPr>
        <w:t>Status at the time of this report.</w:t>
      </w:r>
      <w:r>
        <w:t xml:space="preserve"> Duplicate extraction is under way and </w:t>
      </w:r>
      <w:r>
        <w:rPr>
          <w:b/>
        </w:rPr>
        <w:t>has not concluded</w:t>
      </w:r>
      <w:r>
        <w:t xml:space="preserve">. The data reported here come from a systematic pre-extraction from the abstracts of the 124 studies with a retrievable publication, performed with the same variable schema and explicitly flagged as partial in every record. Accordingly, </w:t>
      </w:r>
      <w:r>
        <w:rPr>
          <w:b/>
        </w:rPr>
        <w:t>this report presents no efficacy estimates</w:t>
      </w:r>
      <w:r>
        <w:t>. It presents the structure of the evidence base and its reporting completeness, which is what the pre-extraction does support. Outcome variables will be reported once duplicate extraction is complete.</w:t>
      </w:r>
    </w:p>
    <w:p>
      <w:pPr>
        <w:pStyle w:val="Heading2"/>
      </w:pPr>
      <w:r>
        <w:t>2.7 Risk of bias and certainty</w:t>
      </w:r>
    </w:p>
    <w:p>
      <w:r>
        <w:t>Risk of bias was to be assessed with RoB 2 for randomised trials [@Sterne2019_rob2], ROBINS-I for non-randomised studies [@Sterne2016_robinsi] and the Murad domains for case reports and series [@Murad2018_casereports; @Munn2020_jbicaseseries], and certainty with GRADE [@Guyatt2011_grade]. These assessments depend on full text and will be reported with the definitive extraction.</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3.5.</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Protocol amendment: the language criterion</w:t>
      </w:r>
    </w:p>
    <w:p>
      <w:r>
        <w:t>On 11 August 2026, with screening complete and 219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219 to 184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40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pPr>
        <w:pStyle w:val="Heading1"/>
      </w:pPr>
      <w:r>
        <w:t>3. Results</w:t>
      </w:r>
    </w:p>
    <w:p>
      <w:pPr>
        <w:pStyle w:val="Heading2"/>
      </w:pPr>
      <w:r>
        <w:t>3.1 Study selection</w:t>
      </w:r>
    </w:p>
    <w:p>
      <w:r>
        <w:t xml:space="preserve">The nine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184 studies</w:t>
      </w:r>
      <w:r>
        <w:t>: 154 with a single report and 30 with several, up to a maximum of eleven reports of one trial.</w:t>
      </w:r>
    </w:p>
    <w:p>
      <w:r>
        <w:t xml:space="preserve">Of the 184 studies, </w:t>
      </w:r>
      <w:r>
        <w:rPr>
          <w:b/>
        </w:rPr>
        <w:t>124 have a retrievable publication</w:t>
      </w:r>
      <w:r>
        <w:t xml:space="preserve">: 121 articles and 3 that exist only as conference abstracts. The remaining </w:t>
      </w:r>
      <w:r>
        <w:rPr>
          <w:b/>
        </w:rPr>
        <w:t>60 are trial registry entries alone</w:t>
      </w:r>
      <w:r>
        <w:t>, with no locatable associated publication. That figure by itself describes a field in which almost one study in three has been registered but has never published results.</w:t>
      </w:r>
    </w:p>
    <w:p>
      <w:r>
        <w:t xml:space="preserve">Exclusion reasons at title screening were laboratory or preclinical work (4 062), other organism without a separable subgroup (3 031), review or commentary without primary data (2 807), does not evaluate phage therapy in patients (2 634), veterinary scope (838)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Full text was obtained for </w:t>
      </w:r>
      <w:r>
        <w:rPr>
          <w:b/>
        </w:rPr>
        <w:t>91 of the 124 retrievable studies (73.4 %)</w:t>
      </w:r>
      <w:r>
        <w:t xml:space="preserve"> through legitimate open-access routes. The remaining 33 require interlibrary loan, institutional access or a request to the authors.</w:t>
      </w:r>
    </w:p>
    <w:p>
      <w:r>
        <w:t xml:space="preserve">The unretrieved fraction </w:t>
      </w:r>
      <w:r>
        <w:rPr>
          <w:b/>
        </w:rPr>
        <w:t>is not a random sample of the whole</w:t>
      </w:r>
      <w:r>
        <w:t xml:space="preserve"> (Table 3). It contains 11 of the 23 comparative studies, </w:t>
      </w:r>
      <w:r>
        <w:rPr>
          <w:b/>
        </w:rPr>
        <w:t>47.8 %</w:t>
      </w:r>
      <w:r>
        <w:t>, and, although it reports fewer patients overall, it concentrates the designs that can sustain a comparison. Of the field's four landmark randomised trials [@Jault2019_phagoburn; @Leitner2021_lancetid_pyophage; @NirPaz2025_med_tp102; @Chan2023_jcf_cyphy], two remain unread: the intravesical phage trial and TP-102. The PhagoBurn article was obtained. The Yale trial has no full journal article, only a conference abstract and results deposited in the register; what was obtained is the trial protocol, which documents the design but not the outcomes.</w:t>
      </w:r>
    </w:p>
    <w:p>
      <w:r>
        <w:t>The asymmetry is itself a finding. Full-text accessibility covaries with region of publication and with study design, and it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124 retrievable studies were published between </w:t>
      </w:r>
      <w:r>
        <w:rPr>
          <w:b/>
        </w:rPr>
        <w:t>2016 and 2026</w:t>
      </w:r>
      <w:r>
        <w:t xml:space="preserve">, and </w:t>
      </w:r>
      <w:r>
        <w:rPr>
          <w:b/>
        </w:rPr>
        <w:t>83.1 %</w:t>
      </w:r>
      <w:r>
        <w:t xml:space="preserve"> since 2020. This is a young and rapidly expanding evidence base (Table 1).</w:t>
      </w:r>
    </w:p>
    <w:p>
      <w:r>
        <w:t xml:space="preserve">Its composition by design is what a rescue literature produces, not what a synthesis of efficacy needs: </w:t>
      </w:r>
      <w:r>
        <w:rPr>
          <w:b/>
        </w:rPr>
        <w:t>49 single case reports (39.5 %)</w:t>
      </w:r>
      <w:r>
        <w:t xml:space="preserve">, 19 case series, 16 randomised trials, 13 prospective cohorts, 7 non-randomised trials and 4 retrospective cohorts. A further 16 do not state a recognisable design in the abstract. Comparative designs total </w:t>
      </w:r>
      <w:r>
        <w:rPr>
          <w:b/>
        </w:rPr>
        <w:t>23 studies, 18.5 %</w:t>
      </w:r>
      <w:r>
        <w:t xml:space="preserve"> of the whole, and are the only ones able to sustain a claim of relative efficacy.</w:t>
      </w:r>
    </w:p>
    <w:p>
      <w:r>
        <w:t>Where stated, geographic origin is spread across Russia (7 studies), Poland and Georgia (6 each), Germany (4), France and the United States (3 each), and India, Iran and Israel (2 each). It is not stated in 76 studies. The fall in Russian representation relative to the pre-amendment corpus, from 34 studies to 7, is a direct effect of the language criterion and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cannot be assigned in </w:t>
      </w:r>
      <w:r>
        <w:rPr>
          <w:b/>
        </w:rPr>
        <w:t>80.6 %</w:t>
      </w:r>
      <w:r>
        <w:t xml:space="preserve"> of studies: 70.2 % do not mention it at all and a further 10.5 % mention it in terms that do not allow classification. For stratifying by resistance, which is what published syntheses do, both cases are equally unusable.</w:t>
      </w:r>
    </w:p>
    <w:p>
      <w:pPr>
        <w:pStyle w:val="ListBullet"/>
      </w:pPr>
      <w:r>
        <w:rPr>
          <w:b/>
        </w:rPr>
        <w:t>Route of administration</w:t>
      </w:r>
      <w:r>
        <w:t xml:space="preserve"> is not stated in </w:t>
      </w:r>
      <w:r>
        <w:rPr>
          <w:b/>
        </w:rPr>
        <w:t>57.3 %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52.4 %</w:t>
      </w:r>
      <w:r>
        <w:t>.</w:t>
      </w:r>
    </w:p>
    <w:p>
      <w:pPr>
        <w:pStyle w:val="ListBullet"/>
      </w:pPr>
      <w:r>
        <w:t xml:space="preserve">Fulfilment of the </w:t>
      </w:r>
      <w:r>
        <w:rPr>
          <w:b/>
        </w:rPr>
        <w:t>DTR</w:t>
      </w:r>
      <w:r>
        <w:t xml:space="preserve"> criterion (difficult-to-treat resistance) is not stated in </w:t>
      </w:r>
      <w:r>
        <w:rPr>
          <w:b/>
        </w:rPr>
        <w:t>98.4 %</w:t>
      </w:r>
      <w:r>
        <w:t>.</w:t>
      </w:r>
    </w:p>
    <w:p>
      <w:r>
        <w:t>These figures describe reporting in the abstract, not necessarily in the full article, and the distinction matters because some of the information may sit in the body of the text. That said, the abstract is what databases index and what automated reviews consume. Three studies in four failing to state their resistance category there means that no MDR/XDR/PDR stratification built from abstracts can be correct.</w:t>
      </w:r>
    </w:p>
    <w:p>
      <w:pPr>
        <w:pStyle w:val="Heading2"/>
      </w:pPr>
      <w:r>
        <w:t>3.5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Almost four studies in ten are single cases, in which the success proportion can only take the values 0 or 1 and its binomial variance is maximal. Pooling forty-nine denominators of one with a handful of larger series produces a weighted mean whose weights are set by series size rather than by evidential quality.</w:t>
      </w:r>
    </w:p>
    <w:p>
      <w:r>
        <w:rPr>
          <w:b/>
        </w:rPr>
        <w:t>Outcome.</w:t>
      </w:r>
      <w:r>
        <w:t xml:space="preserve"> Among the studies whose full text has been read, "clinical success" neither names the same thing nor measures on the same scale. At one end, composite long-term clinical cure: no implant loosening and walking without pain at 21 months [@Ferry2022_natcomms]. At the other, discharge criteria: patient discharged, de-cannulated and rehabilitated [@Aslam2019_ajt]. In between, the label without a criterion: "good clinical outcome" declared by the authors as binary, without stating what had to be observed [@Onallah2023_med].</w:t>
      </w:r>
    </w:p>
    <w:p>
      <w:r>
        <w:t xml:space="preserve">The problem is not only heterogeneity. </w:t>
      </w:r>
      <w:r>
        <w:rPr>
          <w:b/>
        </w:rPr>
        <w:t>Two of the landmark randomised trials report no binary success proportion at all</w:t>
      </w:r>
      <w:r>
        <w:t xml:space="preserve">: the primary endpoint of PhagoBurn is the </w:t>
      </w:r>
      <w:r>
        <w:rPr>
          <w:i/>
        </w:rPr>
        <w:t>time</w:t>
      </w:r>
      <w:r>
        <w:t xml:space="preserve"> to a sustained reduction in bacterial burden [@Jault2019_phagoburn], and that of BX004-A is a </w:t>
      </w:r>
      <w:r>
        <w:rPr>
          <w:i/>
        </w:rPr>
        <w:t>continuous</w:t>
      </w:r>
      <w:r>
        <w:t xml:space="preserve"> variable, the mean log-scale CFU reduction at day 15 [@Weiner2025_natcomms]. A meta-analysis of proportions cannot include them without binarising what their authors measured otherwise, and that conversion would be made by the synthesiser, not by the study.</w:t>
      </w:r>
    </w:p>
    <w:p>
      <w:r>
        <w:t xml:space="preserve">These definitions come from the full texts already retrieved, not from the pre-extraction from abstracts: </w:t>
      </w:r>
      <w:r>
        <w:rPr>
          <w:b/>
        </w:rPr>
        <w:t>no abstract in the corpus states a definition of clinical success</w:t>
      </w:r>
      <w:r>
        <w:t>, which is itself a datum about how the field reports.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retrieval bias documented in section 3.2, which as things stand would exclude two-thirds of the comparative studies from any synthesis. </w:t>
      </w:r>
      <w:r>
        <w:rPr>
          <w:b/>
        </w:rPr>
        <w:t>For these reasons no pooled efficacy proportion is presented here</w:t>
      </w:r>
      <w:r>
        <w:t>, and we argue that those published in previous reviews rest on assumptions these data do not verify.</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nine sources, no language restriction, regional literature and trial registers included. The result is 184 studies against the dozens handled by published reviews, and would have been 219 without the language restriction adopted at the end. That increase does not speak well of the field's maturity. Most of it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Almost four retrievable studies in ten are a single case. Fewer than one in five is comparative. In four out of five, the resistance category by which stratification is attempted cannot be assigned. And almost one identified study in three exists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60 of 184 studies are registry entries without a locatable publication is a first-order publication-bias problem, and no statistical method resolves it.</w:t>
      </w:r>
    </w:p>
    <w:p>
      <w:pPr>
        <w:pStyle w:val="Heading2"/>
      </w:pPr>
      <w:r>
        <w:t>4.4 Strengths and limitations</w:t>
      </w:r>
    </w:p>
    <w:p>
      <w:r>
        <w:rPr>
          <w:b/>
        </w:rPr>
        <w:t>Strengths.</w:t>
      </w:r>
      <w:r>
        <w:t xml:space="preserve"> The search covered nine sources across two separate streams,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five, and all are material. </w:t>
      </w:r>
      <w:r>
        <w:rPr>
          <w:b/>
        </w:rPr>
        <w:t>First</w:t>
      </w:r>
      <w:r>
        <w:t xml:space="preserve">, the review is not prospectively registered. </w:t>
      </w:r>
      <w:r>
        <w:rPr>
          <w:b/>
        </w:rPr>
        <w:t>Second</w:t>
      </w:r>
      <w:r>
        <w:t xml:space="preserve">, duplicate extraction has not concluded, so this report presents no outcomes, no risk-of-bias assessment and no GRADE certainty. It is a characterisation of the evidence base, not a synthesis of its results. </w:t>
      </w:r>
      <w:r>
        <w:rPr>
          <w:b/>
        </w:rPr>
        <w:t>Third</w:t>
      </w:r>
      <w:r>
        <w:t xml:space="preserve">, full text was obtained for 73.4 % of the retrievable studies, and the missing fraction is enriched in comparative designs, so what is described here under-represents the comparative part of the field. </w:t>
      </w:r>
      <w:r>
        <w:rPr>
          <w:b/>
        </w:rPr>
        <w:t>Fourth</w:t>
      </w:r>
      <w:r>
        <w:t xml:space="preserve">, title and abstract screening was issued by a large language model as sole reviewer, without independent duplication and without any human reviewer adjudicating individual decisions (section 2.4). Agreement between the model and a human reader was not measured, so it cannot be quantified how many eligible studies were missed or how many ineligible ones advanced. The positive-control audit bounds the former only over the 40 studies known in advance. It is the most serious limitation of this review and it affects how the corpus was delimited, not merely how it is described; data extraction is done in duplicate and by hand. </w:t>
      </w:r>
      <w:r>
        <w:rPr>
          <w:b/>
        </w:rPr>
        <w:t>Fifth</w:t>
      </w:r>
      <w:r>
        <w:t>, the restriction to English and Spanish was adopted once screening had closed, and removed 35 studies, 18 of them comparative and one belonging to the positive-control set. It pushes the corpus in the same direction as the retrieval bias and narrows what this review can say about the literature of Eastern Europe, which is where comparative designs concentrate.</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Ethics approval and consent.</w:t>
      </w:r>
      <w:r>
        <w:t xml:space="preserve"> Not applicable. This review synthesises already-published literature and aggregate data from public trial registers; it involves no patients, no specimens and no identifiable individual data, and therefore required neither ethics committee approval nor informed consent. No formal waiver was sought because the institution does not require one for studies without primary data.</w:t>
      </w:r>
    </w:p>
    <w:p>
      <w:r>
        <w:rPr>
          <w:b/>
        </w:rPr>
        <w:t>Competing interests.</w:t>
      </w:r>
      <w:r>
        <w:t xml:space="preserve"> The authors declare no competing interests.</w:t>
      </w:r>
    </w:p>
    <w:p>
      <w:r>
        <w:rPr>
          <w:b/>
        </w:rPr>
        <w:t>Author contributions (CRediT).</w:t>
      </w:r>
      <w:r>
        <w:t xml:space="preserve"> </w:t>
      </w:r>
      <w:r>
        <w:rPr>
          <w:b/>
        </w:rPr>
        <w:t>D. Valdiviezo:</w:t>
      </w:r>
      <w:r>
        <w:t xml:space="preserve"> conceptualisation, methodology, investigation (design and execution of the searches across the nine sources), software (screening, grouping and figure-computation pipeline), data curation, data extraction, writing — original draft, visualisation, project administration. </w:t>
      </w:r>
      <w:r>
        <w:rPr>
          <w:b/>
        </w:rPr>
        <w:t>N. Trelles:</w:t>
      </w:r>
      <w:r>
        <w:t xml:space="preserve"> methodology (outcome definitions), investigation, independent data extraction, validation, writing — review and editing. Both authors resolved extraction discrepancies by consensus and approved the final version.</w:t>
      </w:r>
    </w:p>
    <w:p>
      <w:r>
        <w:rPr>
          <w:b/>
        </w:rPr>
        <w:t>Data and code availability.</w:t>
      </w:r>
      <w:r>
        <w:t xml:space="preserve"> All material supporting this review is deposited in a public, citable repository: the search corpus with the raw exports of all nine sources, the append-only decision logs of the three screening stages, both reviewers' extraction workbooks, the methodological decision records with their dates, and the complete pipeline code, which is re-executable from search to the figures in the manuscript. ‹‹DEPOSIT DOI — TO BE COMPLETED BEFORE SUBMISSION››. The decision logs are append-only and preserve every correction alongside the row it supersedes.</w:t>
      </w:r>
    </w:p>
    <w:p>
      <w:r>
        <w:rPr>
          <w:b/>
        </w:rPr>
        <w:t>Use of artificial intelligence.</w:t>
      </w:r>
      <w:r>
        <w:t xml:space="preserve"> A generative language model (Claude Opus 5, Anthropic) was used in four tasks, and they must be distinguished because they do not commit the work equally. </w:t>
      </w:r>
      <w:r>
        <w:rPr>
          <w:i/>
        </w:rPr>
        <w:t>Issuing judgements that determine the corpus:</w:t>
      </w:r>
      <w:r>
        <w:t xml:space="preserve"> the model screened titles and abstracts as </w:t>
      </w:r>
      <w:r>
        <w:rPr>
          <w:b/>
        </w:rPr>
        <w:t>sole reviewer, without independent duplication</w:t>
      </w:r>
      <w:r>
        <w:t xml:space="preserve"> --13 917 title decisions and 460 abstract decisions -- and performed the pre-extraction from abstracts. These decisions </w:t>
      </w:r>
      <w:r>
        <w:rPr>
          <w:b/>
        </w:rPr>
        <w:t>were not individually adjudicated by a human reviewer</w:t>
      </w:r>
      <w:r>
        <w:t xml:space="preserve">. Each is logged with its reason, the model and its timestamp, and the logs are supplied in full (S3, S4); the detail and its consequences are in sections 2.4 and 4.4. </w:t>
      </w:r>
      <w:r>
        <w:rPr>
          <w:i/>
        </w:rPr>
        <w:t>Without issuing judgements:</w:t>
      </w:r>
      <w:r>
        <w:t xml:space="preserve"> assistance in programming the pipeline and in drafting. </w:t>
      </w:r>
      <w:r>
        <w:rPr>
          <w:i/>
        </w:rPr>
        <w:t>Without any involvement of the model:</w:t>
      </w:r>
      <w:r>
        <w:t xml:space="preserve"> the design and execution of the searches, carried out by D.V. querying each interface (section 2.3); the eligibility criteria and the exclusion vocabulary, fixed before screening; and data extraction, performed by the two authors in duplicate. The authors designed the review, fixed the criteria and the exclusion vocabulary before starting, perform data extraction in duplicate without the model, and take full responsibility for the accuracy and integrity of the work. No AI tool is listed as an author, per ICMJE recommendations.</w:t>
      </w:r>
    </w:p>
    <w:p>
      <w:r>
        <w:rPr>
          <w:b/>
        </w:rPr>
        <w:t>Acknowledgements.</w:t>
      </w:r>
      <w:r>
        <w:t xml:space="preserve"> The authors thank the library staff of Universidad Católica de Cuenca for handling the interlibrary loan requests, and the authors of the studies who responded to full-text requests.</w:t>
      </w:r>
    </w:p>
    <w:p>
      <w:pPr>
        <w:pStyle w:val="Heading1"/>
      </w:pPr>
      <w:r>
        <w:t>Tables and figures</w:t>
      </w:r>
    </w:p>
    <w:p>
      <w:r>
        <w:t>The four tables are supplied as separate files (`paper/tablas/`), each with its own footnote. Both figures are supplied as vector PDF (`paper/figuras/`).</w:t>
      </w:r>
    </w:p>
    <w:p>
      <w:r>
        <w:rPr>
          <w:b/>
        </w:rPr>
        <w:t>Table 1.</w:t>
      </w:r>
      <w:r>
        <w:t xml:space="preserve"> Characteristics of the retrievable evidence base (n = 124 studies).</w:t>
      </w:r>
    </w:p>
    <w:p>
      <w:r>
        <w:rPr>
          <w:b/>
        </w:rPr>
        <w:t>Table 2.</w:t>
      </w:r>
      <w:r>
        <w:t xml:space="preserve"> Reporting completeness for variables critical to stratification.</w:t>
      </w:r>
    </w:p>
    <w:p>
      <w:r>
        <w:rPr>
          <w:b/>
        </w:rPr>
        <w:t>Table 3.</w:t>
      </w:r>
      <w:r>
        <w:t xml:space="preserve"> Comparison of studies with and without full text obtained.</w:t>
      </w:r>
    </w:p>
    <w:p>
      <w:r>
        <w:rPr>
          <w:b/>
        </w:rPr>
        <w:t>Table 4.</w:t>
      </w:r>
      <w:r>
        <w:t xml:space="preserve"> Exclusion reasons by stage, using the closed vocabulary.</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grey box is not part of the selection flow: it reports how many included studies have been read in full text to date. </w:t>
      </w:r>
      <w:r>
        <w:rPr>
          <w:i/>
        </w:rPr>
        <w:t>Source.</w:t>
      </w:r>
      <w:r>
        <w:t xml:space="preserve"> Project screening pipeline; final search run, 10 August 2026.</w:t>
      </w:r>
    </w:p>
    <w:p>
      <w:r>
        <w:rPr>
          <w:b/>
        </w:rPr>
        <w:t>Figure 2. Composition of the retrievable evidence base (n = 124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124 studies with a retrievable publication.</w:t>
      </w:r>
    </w:p>
    <w:p>
      <w:pPr>
        <w:pStyle w:val="Heading1"/>
      </w:pPr>
      <w:r>
        <w:t>Supplementary material</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184 estudios con su situación y sus informes agrupados.</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