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7 514.</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46 salieron del corpus</w:t>
      </w:r>
      <w:r>
        <w:t xml:space="preserve"> —protocolos, modelos preclínicos, y artículos donde </w:t>
      </w:r>
      <w:r>
        <w:rPr>
          <w:i/>
        </w:rPr>
        <w:t>P. aeruginosa</w:t>
      </w:r>
      <w:r>
        <w:t xml:space="preserve"> solo figura en el espectro del producto—: quedan </w:t>
      </w:r>
      <w:r>
        <w:rPr>
          <w:b/>
        </w:rPr>
        <w:t>137</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12 de los 15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90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137 a 113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46 de ellos salieron del corpus</w:t>
      </w:r>
      <w:r>
        <w:t xml:space="preserve">, y se excluyeron; el apartado siguiente los detalla. El cuerpo de evidencia queda en </w:t>
      </w:r>
      <w:r>
        <w:rPr>
          <w:b/>
        </w:rPr>
        <w:t>137 estudios</w:t>
      </w:r>
      <w:r>
        <w:t>, que agrupan 171 informes: 115 con un solo informe y 22 con varios, hasta un máximo de once informes de un mismo ensayo.</w:t>
      </w:r>
    </w:p>
    <w:p>
      <w:pPr>
        <w:pStyle w:val="Heading2"/>
      </w:pPr>
      <w:r>
        <w:t>3.1.1 Los 46 estudios que el cribado admitió y que salieron después</w:t>
      </w:r>
    </w:p>
    <w:p>
      <w:r>
        <w:rPr>
          <w:b/>
        </w:rPr>
        <w:t>Veintinueve salieron al juzgarlos sobre su publicación.</w:t>
      </w:r>
      <w:r>
        <w:t xml:space="preserve">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137 estudios, </w:t>
      </w:r>
      <w:r>
        <w:rPr>
          <w:b/>
        </w:rPr>
        <w:t>95 tienen publicación recuperable</w:t>
      </w:r>
      <w:r>
        <w:t xml:space="preserve">: 92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103 brazos no puede clasificarse —12 en que los dos revisores acordaron «NA» y 7 que siguen abiertos—, de modo que los recuentos por diseño son suelos sobre los 84 restantes. De esos 91, </w:t>
      </w:r>
      <w:r>
        <w:rPr>
          <w:b/>
        </w:rPr>
        <w:t>8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18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9 estudios evaluados con ROBINS-I, el juicio global es de riesgo moderado en 2 y de riesgo grave en 7. El dominio que más juicios desfavorables concentra en ROBINS-I —alto riesgo en RoB 2; grave o crítico en ROBINS-I— es «sesgo por confusión», con 7 de 9. Los 90 juicios se emitieron en una evaluación única acordada entre los dos autores; al no haber dos lecturas independientes, no se reporta concordancia entre revisores.</w:t>
      </w:r>
    </w:p>
    <w:p>
      <w:r>
        <w:rPr>
          <w:b/>
        </w:rPr>
        <w:t>Tabla 7.</w:t>
      </w:r>
      <w:r>
        <w:t xml:space="preserve"> Riesgo de sesgo por dominio de los 12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137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137 estudios con su situación y sus informes agrupados, y de los 46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