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14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Las cifras de desenlace se apoyan en la extracción adjudicada, de modo que ese conjunto todavía tiene 14 casillas abiertas: salen vacías y se declaran como tales, pero un revisor puede legítimamente pedir que se cierren antes de publicar.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190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155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