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286; texto principal 9 422.</w:t>
      </w:r>
    </w:p>
    <w:p>
      <w:pPr>
        <w:jc w:val="both"/>
      </w:pPr>
      <w:r>
        <w:rPr>
          <w:rFonts w:ascii="Times New Roman" w:hAnsi="Times New Roman"/>
          <w:b w:val="0"/>
          <w:i/>
          <w:sz w:val="22"/>
        </w:rPr>
        <w:t>Tablas:</w:t>
      </w:r>
      <w:r>
        <w:rPr>
          <w:rFonts w:ascii="Times New Roman" w:hAnsi="Times New Roman"/>
          <w:b w:val="0"/>
          <w:i w:val="0"/>
          <w:sz w:val="22"/>
        </w:rPr>
        <w:t xml:space="preserve"> 7.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anexos S0–S24 y S18b,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con su artículo completo: criterio añadido tras la extracción.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y </w:t>
      </w:r>
      <w:r>
        <w:rPr>
          <w:rFonts w:ascii="Times New Roman" w:hAnsi="Times New Roman"/>
          <w:b w:val="0"/>
          <w:i/>
          <w:sz w:val="22"/>
        </w:rPr>
        <w:t>118 salieron del corpus</w:t>
      </w:r>
      <w:r>
        <w:rPr>
          <w:rFonts w:ascii="Times New Roman" w:hAnsi="Times New Roman"/>
          <w:b w:val="0"/>
          <w:i w:val="0"/>
          <w:sz w:val="22"/>
        </w:rPr>
        <w:t xml:space="preserve">: 63 por no disponer del artículo completo —42 solo existían como ficha de registro— y 55 por no cumplir los criterios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65</w:t>
      </w:r>
      <w:r>
        <w:rPr>
          <w:rFonts w:ascii="Times New Roman" w:hAnsi="Times New Roman"/>
          <w:b w:val="0"/>
          <w:i w:val="0"/>
          <w:sz w:val="22"/>
        </w:rP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rFonts w:ascii="Times New Roman" w:hAnsi="Times New Roman"/>
          <w:b w:val="0"/>
          <w:i/>
          <w:sz w:val="22"/>
        </w:rPr>
        <w:t>P. aeruginosa</w:t>
      </w:r>
      <w:r>
        <w:rPr>
          <w:rFonts w:ascii="Times New Roman" w:hAnsi="Times New Roman"/>
          <w:b w:val="0"/>
          <w:i w:val="0"/>
          <w:sz w:val="22"/>
        </w:rPr>
        <w:t xml:space="preserve"> y el otro mide un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w:t>
      </w:r>
      <w:r>
        <w:rPr>
          <w:rFonts w:ascii="Times New Roman" w:hAnsi="Times New Roman"/>
          <w:b w:val="0"/>
          <w:i w:val="0"/>
          <w:sz w:val="22"/>
        </w:rPr>
        <w:t>: los 9 que el diseño adjudicado sobre el artículo identifica como comparativos, todos con texto completo, como el resto del corpus desde el criterio de la sección 2.9. Los ensayos aleatorizados con RoB 2 (10) y los no aleatorizados y las cohortes con ROBINS-I (11).</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duplicado independiente y se resuelven por consenso.</w:t>
      </w:r>
      <w:r>
        <w:rPr>
          <w:rFonts w:ascii="Times New Roman" w:hAnsi="Times New Roman"/>
          <w:b w:val="0"/>
          <w:i w:val="0"/>
          <w:sz w:val="22"/>
        </w:rPr>
        <w:t xml:space="preserve"> Cada autor evalúa por separado, con el artículo delante, y los desacuerdos se discuten uno a uno hasta acordar un juicio. La concordancia previa al consenso se reporta en la sección 3.7, igual que la de la extracción de datos (sección 2.6). Un estudio, incorporado a la evaluación después de las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73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68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solo entran los estudios con el artículo completo.</w:t>
      </w:r>
      <w:r>
        <w:rPr>
          <w:rFonts w:ascii="Times New Roman" w:hAnsi="Times New Roman"/>
          <w:b w:val="0"/>
          <w:i w:val="0"/>
          <w:sz w:val="22"/>
        </w:rP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4 estudios</w:t>
      </w:r>
      <w:r>
        <w:rPr>
          <w:rFonts w:ascii="Times New Roman" w:hAnsi="Times New Roman"/>
          <w:b w:val="0"/>
          <w:i w:val="0"/>
          <w:sz w:val="22"/>
        </w:rPr>
        <w:t xml:space="preserve"> con el código NOREC y </w:t>
      </w:r>
      <w:r>
        <w:rPr>
          <w:rFonts w:ascii="Times New Roman" w:hAnsi="Times New Roman"/>
          <w:b w:val="0"/>
          <w:i/>
          <w:sz w:val="22"/>
        </w:rPr>
        <w:t>63</w:t>
      </w:r>
      <w:r>
        <w:rPr>
          <w:rFonts w:ascii="Times New Roman" w:hAnsi="Times New Roman"/>
          <w:b w:val="0"/>
          <w:i w:val="0"/>
          <w:sz w:val="22"/>
        </w:rP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rFonts w:ascii="Times New Roman" w:hAnsi="Times New Roman"/>
          <w:b w:val="0"/>
          <w:i/>
          <w:sz w:val="22"/>
        </w:rPr>
        <w:t>todo estudio sin el PDF del artículo completo con acceso</w:t>
      </w:r>
      <w:r>
        <w:rPr>
          <w:rFonts w:ascii="Times New Roman" w:hAnsi="Times New Roman"/>
          <w:b w:val="0"/>
          <w:i w:val="0"/>
          <w:sz w:val="22"/>
        </w:rPr>
        <w:t xml:space="preserve"> (código NOPDF): 21 estudios cuyo artículo no se obtuvo —3 de ellos solo existen como resumen de congreso— y 42 que solo existen como ficha de registro de ensayo. El corpus pasó de 128 a 65 estudios.</w:t>
      </w:r>
    </w:p>
    <w:p>
      <w:pPr>
        <w:jc w:val="both"/>
      </w:pPr>
      <w:r>
        <w:rPr>
          <w:rFonts w:ascii="Times New Roman" w:hAnsi="Times New Roman"/>
          <w:b w:val="0"/>
          <w:i w:val="0"/>
          <w:sz w:val="22"/>
        </w:rPr>
        <w:t xml:space="preserve">Hasta esa fecha esta misma sección desaconsejaba generalizar NOREC, y el motivo sigue en pie: con el criterio ampliado, la recuperación de texto completo del corpus es del 100 % </w:t>
      </w:r>
      <w:r>
        <w:rPr>
          <w:rFonts w:ascii="Times New Roman" w:hAnsi="Times New Roman"/>
          <w:b w:val="0"/>
          <w:i/>
          <w:sz w:val="22"/>
        </w:rPr>
        <w:t>por construcción</w:t>
      </w:r>
      <w:r>
        <w:rPr>
          <w:rFonts w:ascii="Times New Roman" w:hAnsi="Times New Roman"/>
          <w:b w:val="0"/>
          <w:i w:val="0"/>
          <w:sz w:val="22"/>
        </w:rPr>
        <w:t xml:space="preserve">, y el sesgo de recuperación que la sección 3.2 medía dentro del corpus deja de poder medirse ahí. Por eso se mide como </w:t>
      </w:r>
      <w:r>
        <w:rPr>
          <w:rFonts w:ascii="Times New Roman" w:hAnsi="Times New Roman"/>
          <w:b w:val="0"/>
          <w:i/>
          <w:sz w:val="22"/>
        </w:rPr>
        <w:t>efecto del criterio</w:t>
      </w:r>
      <w:r>
        <w:rPr>
          <w:rFonts w:ascii="Times New Roman" w:hAnsi="Times New Roman"/>
          <w:b w:val="0"/>
          <w:i w:val="0"/>
          <w:sz w:val="22"/>
        </w:rPr>
        <w:t xml:space="preserve"> (Tabla 3). Contando las dos fechas, el criterio deja fuera 67 estudios, y no son una muestra aleatoria: se lleva </w:t>
      </w:r>
      <w:r>
        <w:rPr>
          <w:rFonts w:ascii="Times New Roman" w:hAnsi="Times New Roman"/>
          <w:b w:val="0"/>
          <w:i/>
          <w:sz w:val="22"/>
        </w:rPr>
        <w:t>7 de los 9 diseños comparativos (77,8 %)</w:t>
      </w:r>
      <w:r>
        <w:rPr>
          <w:rFonts w:ascii="Times New Roman" w:hAnsi="Times New Roman"/>
          <w:b w:val="0"/>
          <w:i w:val="0"/>
          <w:sz w:val="22"/>
        </w:rPr>
        <w:t xml:space="preserve"> y 5 de los 7 ensayos aleatorizados. Los autores lo adoptaron conociendo ese efecto, y se declara aquí, con su fecha, en lugar de presentarse como si hubiera regido desde el principio.</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De ellos, </w:t>
      </w:r>
      <w:r>
        <w:rPr>
          <w:rFonts w:ascii="Times New Roman" w:hAnsi="Times New Roman"/>
          <w:b w:val="0"/>
          <w:i/>
          <w:sz w:val="22"/>
        </w:rPr>
        <w:t>118 salieron del corpus</w:t>
      </w:r>
      <w:r>
        <w:rPr>
          <w:rFonts w:ascii="Times New Roman" w:hAnsi="Times New Roman"/>
          <w:b w:val="0"/>
          <w:i w:val="0"/>
          <w:sz w:val="22"/>
        </w:rPr>
        <w:t xml:space="preserve">: 63 por no disponer del PDF del artículo completo (sección 2.9) y 55 por no cumplir los criterios de elegibilidad, comprobado sobre el artículo o sobre la ficha del registro; el apartado siguiente los detalla. El cuerpo de evidencia queda en </w:t>
      </w:r>
      <w:r>
        <w:rPr>
          <w:rFonts w:ascii="Times New Roman" w:hAnsi="Times New Roman"/>
          <w:b w:val="0"/>
          <w:i/>
          <w:sz w:val="22"/>
        </w:rPr>
        <w:t>65 estudios</w:t>
      </w:r>
      <w:r>
        <w:rPr>
          <w:rFonts w:ascii="Times New Roman" w:hAnsi="Times New Roman"/>
          <w:b w:val="0"/>
          <w:i w:val="0"/>
          <w:sz w:val="22"/>
        </w:rP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118 estudios que el cribado admitió y que salieron después</w:t>
      </w:r>
    </w:p>
    <w:p>
      <w:pPr>
        <w:jc w:val="both"/>
      </w:pPr>
      <w:r>
        <w:rPr>
          <w:rFonts w:ascii="Times New Roman" w:hAnsi="Times New Roman"/>
          <w:b w:val="0"/>
          <w:i/>
          <w:sz w:val="22"/>
        </w:rPr>
        <w:t>Sesenta y tres salieron por no disponer del artículo completo</w:t>
      </w:r>
      <w:r>
        <w:rPr>
          <w:rFonts w:ascii="Times New Roman" w:hAnsi="Times New Roman"/>
          <w:b w:val="0"/>
          <w:i w:val="0"/>
          <w:sz w:val="22"/>
        </w:rP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no cumplir los criterios.</w:t>
      </w:r>
    </w:p>
    <w:p>
      <w:pPr>
        <w:jc w:val="both"/>
      </w:pPr>
      <w:r>
        <w:rPr>
          <w:rFonts w:ascii="Times New Roman" w:hAnsi="Times New Roman"/>
          <w:b w:val="0"/>
          <w:i/>
          <w:sz w:val="22"/>
        </w:rPr>
        <w:t>Treinta y ocho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Treinta</w:t>
      </w:r>
      <w:r>
        <w:rPr>
          <w:rFonts w:ascii="Times New Roman" w:hAnsi="Times New Roman"/>
          <w:b w:val="0"/>
          <w:i w:val="0"/>
          <w:sz w:val="22"/>
        </w:rPr>
        <w:t xml:space="preserve"> salieron de leer su artículo. </w:t>
      </w:r>
      <w:r>
        <w:rPr>
          <w:rFonts w:ascii="Times New Roman" w:hAnsi="Times New Roman"/>
          <w:b w:val="0"/>
          <w:i/>
          <w:sz w:val="22"/>
        </w:rPr>
        <w:t>Dieciséis</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sz w:val="22"/>
        </w:rPr>
        <w:t>Cuatro más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sz w:val="22"/>
        </w:rPr>
        <w:t>Cuatro</w:t>
      </w:r>
      <w:r>
        <w:rPr>
          <w:rFonts w:ascii="Times New Roman" w:hAnsi="Times New Roman"/>
          <w:b w:val="0"/>
          <w:i w:val="0"/>
          <w:sz w:val="22"/>
        </w:rPr>
        <w:t xml:space="preserve"> salieron, por último, por </w:t>
      </w:r>
      <w:r>
        <w:rPr>
          <w:rFonts w:ascii="Times New Roman" w:hAnsi="Times New Roman"/>
          <w:b w:val="0"/>
          <w:i/>
          <w:sz w:val="22"/>
        </w:rPr>
        <w:t>NOREC</w:t>
      </w:r>
      <w:r>
        <w:rPr>
          <w:rFonts w:ascii="Times New Roman" w:hAnsi="Times New Roman"/>
          <w:b w:val="0"/>
          <w:i w:val="0"/>
          <w:sz w:val="22"/>
        </w:rPr>
        <w:t xml:space="preserve"> (sección 2.9): el texto completo no pudo leerse y, sin él, un criterio no pudo verificarse contra el artículo. Uno es el ensayo aleatorizado que describe la sección 2.9.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rFonts w:ascii="Times New Roman" w:hAnsi="Times New Roman"/>
          <w:b w:val="0"/>
          <w:i/>
          <w:sz w:val="22"/>
        </w:rPr>
        <w:t>30,1 %</w:t>
      </w:r>
      <w:r>
        <w:rPr>
          <w:rFonts w:ascii="Times New Roman" w:hAnsi="Times New Roman"/>
          <w:b w:val="0"/>
          <w:i w:val="0"/>
          <w:sz w:val="22"/>
        </w:rPr>
        <w:t xml:space="preserve"> de los 93 estudios cuyo texto completo se pudo leer. Es un suelo, no un total: los 63 que salieron por no disponer del artículo nunca se comprobaron contra él.</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38 anteriores se juzgaron sobre su publicación; estos no tienen ninguna.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superaron el criterio de población; como ninguna tiene artículo publicado, salieron después por el criterio del texto completo (sección 2.9).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Los 65 estudios del corpus tienen todos su artículo completo. Antes del criterio del texto completo, </w:t>
      </w:r>
      <w:r>
        <w:rPr>
          <w:rFonts w:ascii="Times New Roman" w:hAnsi="Times New Roman"/>
          <w:b w:val="0"/>
          <w:i/>
          <w:sz w:val="22"/>
        </w:rPr>
        <w:t>42 de los 128 estudios eran únicamente fichas de registro de ensayo</w:t>
      </w:r>
      <w:r>
        <w:rPr>
          <w:rFonts w:ascii="Times New Roman" w:hAnsi="Times New Roman"/>
          <w:b w:val="0"/>
          <w:i w:val="0"/>
          <w:sz w:val="22"/>
        </w:rPr>
        <w:t>, sin publicación asociada localizable. Esa cifra, que el criterio saca del corpus pero no del campo, basta por sí sola para describir una literatura en la que casi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Los 65 estudios del corpus tienen su texto completo, obtenido por vías de acceso abierto legítimas. Desde el criterio de la sección 2.9 esa es la condición de entrada, de modo que la tasa del </w:t>
      </w:r>
      <w:r>
        <w:rPr>
          <w:rFonts w:ascii="Times New Roman" w:hAnsi="Times New Roman"/>
          <w:b w:val="0"/>
          <w:i/>
          <w:sz w:val="22"/>
        </w:rPr>
        <w:t>100,0 %</w:t>
      </w:r>
      <w:r>
        <w:rPr>
          <w:rFonts w:ascii="Times New Roman" w:hAnsi="Times New Roman"/>
          <w:b w:val="0"/>
          <w:i w:val="0"/>
          <w:sz w:val="22"/>
        </w:rPr>
        <w:t xml:space="preserve"> no mide la recuperación, sino el criterio. La recuperación se mide justo antes de él: el texto se había obtenido para </w:t>
      </w:r>
      <w:r>
        <w:rPr>
          <w:rFonts w:ascii="Times New Roman" w:hAnsi="Times New Roman"/>
          <w:b w:val="0"/>
          <w:i/>
          <w:sz w:val="22"/>
        </w:rPr>
        <w:t>65 de los 86 estudios con artículo o resumen (75,6 %)</w:t>
      </w:r>
      <w:r>
        <w:rPr>
          <w:rFonts w:ascii="Times New Roman" w:hAnsi="Times New Roman"/>
          <w:b w:val="0"/>
          <w:i w:val="0"/>
          <w:sz w:val="22"/>
        </w:rP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pPr>
        <w:jc w:val="both"/>
      </w:pPr>
      <w:r>
        <w:rPr>
          <w:rFonts w:ascii="Times New Roman" w:hAnsi="Times New Roman"/>
          <w:b w:val="0"/>
          <w:i w:val="0"/>
          <w:sz w:val="22"/>
        </w:rPr>
        <w:t xml:space="preserve">La fracción no obtenida </w:t>
      </w:r>
      <w:r>
        <w:rPr>
          <w:rFonts w:ascii="Times New Roman" w:hAnsi="Times New Roman"/>
          <w:b w:val="0"/>
          <w:i/>
          <w:sz w:val="22"/>
        </w:rPr>
        <w:t>no era una muestra aleatoria del conjunto</w:t>
      </w:r>
      <w:r>
        <w:rPr>
          <w:rFonts w:ascii="Times New Roman" w:hAnsi="Times New Roman"/>
          <w:b w:val="0"/>
          <w:i w:val="0"/>
          <w:sz w:val="22"/>
        </w:rPr>
        <w:t xml:space="preserve"> (Tabla 3), y el criterio que la excluye tampoco lo es. Contando los 4 estudios de NOREC, los estudios que el criterio deja fuera contienen 7 de los 9 diseños comparativos, el </w:t>
      </w:r>
      <w:r>
        <w:rPr>
          <w:rFonts w:ascii="Times New Roman" w:hAnsi="Times New Roman"/>
          <w:b w:val="0"/>
          <w:i/>
          <w:sz w:val="22"/>
        </w:rPr>
        <w:t>77,8 %</w:t>
      </w:r>
      <w:r>
        <w:rPr>
          <w:rFonts w:ascii="Times New Roman" w:hAnsi="Times New Roman"/>
          <w:b w:val="0"/>
          <w:i w:val="0"/>
          <w:sz w:val="22"/>
        </w:rPr>
        <w:t>, aunque declaran menos pacientes en total. De los 7 ensayos aleatorizados identificados con artículo o resumen, el corpus conserva 2 —PhagoBurn (17) y BX004-A (18)—, y los otros 5 salieron por el criterio, entre ellos el de TP-102 (19).</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65 estudios del corpus se publicaron entre </w:t>
      </w:r>
      <w:r>
        <w:rPr>
          <w:rFonts w:ascii="Times New Roman" w:hAnsi="Times New Roman"/>
          <w:b w:val="0"/>
          <w:i/>
          <w:sz w:val="22"/>
        </w:rPr>
        <w:t>2017 y 2026</w:t>
      </w:r>
      <w:r>
        <w:rPr>
          <w:rFonts w:ascii="Times New Roman" w:hAnsi="Times New Roman"/>
          <w:b w:val="0"/>
          <w:i w:val="0"/>
          <w:sz w:val="22"/>
        </w:rPr>
        <w:t xml:space="preserve">, y el </w:t>
      </w:r>
      <w:r>
        <w:rPr>
          <w:rFonts w:ascii="Times New Roman" w:hAnsi="Times New Roman"/>
          <w:b w:val="0"/>
          <w:i/>
          <w:sz w:val="22"/>
        </w:rPr>
        <w:t>86,2 %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34 reportes de caso único (52,3 %)</w:t>
      </w:r>
      <w:r>
        <w:rPr>
          <w:rFonts w:ascii="Times New Roman" w:hAnsi="Times New Roman"/>
          <w:b w:val="0"/>
          <w:i w:val="0"/>
          <w:sz w:val="22"/>
        </w:rPr>
        <w:t xml:space="preserve">, 16 series de casos, 7 cohortes prospectivas, 2 ensayos aleatorizados, 0 ensayos no aleatorizados y 3 cohortes retrospectivas. Otros 3 no declaran su diseño de forma reconocible en el resumen. Los comparativos suman </w:t>
      </w:r>
      <w:r>
        <w:rPr>
          <w:rFonts w:ascii="Times New Roman" w:hAnsi="Times New Roman"/>
          <w:b w:val="0"/>
          <w:i/>
          <w:sz w:val="22"/>
        </w:rPr>
        <w:t>2 estudios, el 3,1 %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70,8 %</w:t>
      </w:r>
      <w:r>
        <w:rPr>
          <w:rFonts w:ascii="Times New Roman" w:hAnsi="Times New Roman"/>
          <w:b w:val="0"/>
          <w:i w:val="0"/>
          <w:sz w:val="22"/>
        </w:rP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49,2 %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26,2 %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96,9 %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73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5 con el código ORG (EST-009, EST-055, EST-132, EST-181 y EST-208; sección 3.1.1) y mantuvieron 4,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y EST-096, que también se mantienen.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73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87,7 % es, sin embargo, engañoso si se lee como disponibilidad para agregar. </w:t>
      </w:r>
      <w:r>
        <w:rPr>
          <w:rFonts w:ascii="Times New Roman" w:hAnsi="Times New Roman"/>
          <w:b w:val="0"/>
          <w:i/>
          <w:sz w:val="22"/>
        </w:rPr>
        <w:t>En 43 de los 73 brazos (58,9 %) no consta una definición operativa de éxito clínico</w:t>
      </w:r>
      <w:r>
        <w:rPr>
          <w:rFonts w:ascii="Times New Roman" w:hAnsi="Times New Roman"/>
          <w:b w:val="0"/>
          <w:i w:val="0"/>
          <w:sz w:val="22"/>
        </w:rP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pPr>
        <w:jc w:val="both"/>
      </w:pPr>
      <w:r>
        <w:rPr>
          <w:rFonts w:ascii="Times New Roman" w:hAnsi="Times New Roman"/>
          <w:b w:val="0"/>
          <w:i w:val="0"/>
          <w:sz w:val="22"/>
        </w:rPr>
        <w:t xml:space="preserve">El diseño consta en los 73 brazos: </w:t>
      </w:r>
      <w:r>
        <w:rPr>
          <w:rFonts w:ascii="Times New Roman" w:hAnsi="Times New Roman"/>
          <w:b w:val="0"/>
          <w:i/>
          <w:sz w:val="22"/>
        </w:rPr>
        <w:t>4 brazos son ensayos</w:t>
      </w:r>
      <w:r>
        <w:rPr>
          <w:rFonts w:ascii="Times New Roman" w:hAnsi="Times New Roman"/>
          <w:b w:val="0"/>
          <w:i w:val="0"/>
          <w:sz w:val="22"/>
        </w:rPr>
        <w:t xml:space="preserve"> (aleatorizados o no) y </w:t>
      </w:r>
      <w:r>
        <w:rPr>
          <w:rFonts w:ascii="Times New Roman" w:hAnsi="Times New Roman"/>
          <w:b w:val="0"/>
          <w:i/>
          <w:sz w:val="22"/>
        </w:rPr>
        <w:t>8 son cohortes</w:t>
      </w:r>
      <w:r>
        <w:rPr>
          <w:rFonts w:ascii="Times New Roman" w:hAnsi="Times New Roman"/>
          <w:b w:val="0"/>
          <w:i w:val="0"/>
          <w:sz w:val="22"/>
        </w:rP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73</w:t>
      </w:r>
      <w:r>
        <w:rPr>
          <w:rFonts w:ascii="Times New Roman" w:hAnsi="Times New Roman"/>
          <w:b w:val="0"/>
          <w:i w:val="0"/>
          <w:sz w:val="22"/>
        </w:rPr>
        <w:t>. Los dos siguientes son los criterios de elegibilidad que esta misma revisión declara en la sección 2.2, y solo uno de esos 2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73 brazos de esta literatura, </w:t>
      </w:r>
      <w:r>
        <w:rPr>
          <w:rFonts w:ascii="Times New Roman" w:hAnsi="Times New Roman"/>
          <w:b w:val="0"/>
          <w:i/>
          <w:sz w:val="22"/>
        </w:rPr>
        <w:t>ninguno reúne a la vez las condiciones aritméticas, los criterios de elegibilidad y la métrica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 los artículos del corpus,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Los 2 ensayos aleatorizados del corpus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efecto del criterio del texto completo documentado en la sección 3.2: 7 de los 9 diseños comparativos que el corpus habría podido aportar a una síntesis quedaron fuera de él.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dos revisores evaluaron por separado 8 de los 9 estudios evaluables y coincidieron en 49 de los 60 juicios comparables (81,7 %; kappa de Cohen 0,74). Los 11 restantes se discutieron uno a uno y se resolvieron por consenso, los 11 en la misma dirección.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siete y todas materiales. </w:t>
      </w:r>
      <w:r>
        <w:rPr>
          <w:rFonts w:ascii="Times New Roman" w:hAnsi="Times New Roman"/>
          <w:b w:val="0"/>
          <w:i/>
          <w:sz w:val="22"/>
        </w:rPr>
        <w:t>Primera:</w:t>
      </w:r>
      <w:r>
        <w:rPr>
          <w:rFonts w:ascii="Times New Roman" w:hAnsi="Times New Roman"/>
          <w:b w:val="0"/>
          <w:i w:val="0"/>
          <w:sz w:val="22"/>
        </w:rP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y la concordancia previa al consenso fue del 81,7 % (49 de 60 juicios; kappa de Cohen 0,74), con 11 desacuerdos resueltos todos en la misma dirección. </w:t>
      </w:r>
      <w:r>
        <w:rPr>
          <w:rFonts w:ascii="Times New Roman" w:hAnsi="Times New Roman"/>
          <w:b w:val="0"/>
          <w:i/>
          <w:sz w:val="22"/>
        </w:rPr>
        <w:t>Quinta:</w:t>
      </w:r>
      <w:r>
        <w:rPr>
          <w:rFonts w:ascii="Times New Roman" w:hAnsi="Times New Roman"/>
          <w:b w:val="0"/>
          <w:i w:val="0"/>
          <w:sz w:val="22"/>
        </w:rP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rFonts w:ascii="Times New Roman" w:hAnsi="Times New Roman"/>
          <w:b w:val="0"/>
          <w:i/>
          <w:sz w:val="22"/>
        </w:rPr>
        <w:t>Séptima: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y 15 los encontró la lectura. 19 se confirmaron, 11 se descartaron y </w:t>
      </w:r>
      <w:r>
        <w:rPr>
          <w:rFonts w:ascii="Times New Roman" w:hAnsi="Times New Roman"/>
          <w:b w:val="0"/>
          <w:i/>
          <w:sz w:val="22"/>
        </w:rPr>
        <w:t>ninguno queda sin leer</w:t>
      </w:r>
      <w:r>
        <w:rPr>
          <w:rFonts w:ascii="Times New Roman" w:hAnsi="Times New Roman"/>
          <w:b w:val="0"/>
          <w:i w:val="0"/>
          <w:sz w:val="22"/>
        </w:rP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65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2017–2026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56</w:t>
            </w:r>
          </w:p>
        </w:tc>
        <w:tc>
          <w:tcPr>
            <w:tcW w:type="dxa" w:w="3009"/>
          </w:tcPr>
          <w:p>
            <w:r/>
            <w:r>
              <w:rPr>
                <w:rFonts w:ascii="Times New Roman" w:hAnsi="Times New Roman"/>
                <w:b w:val="0"/>
                <w:i w:val="0"/>
                <w:sz w:val="18"/>
              </w:rPr>
              <w:t>86.2</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52.3</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16</w:t>
            </w:r>
          </w:p>
        </w:tc>
        <w:tc>
          <w:tcPr>
            <w:tcW w:type="dxa" w:w="3009"/>
          </w:tcPr>
          <w:p>
            <w:r/>
            <w:r>
              <w:rPr>
                <w:rFonts w:ascii="Times New Roman" w:hAnsi="Times New Roman"/>
                <w:b w:val="0"/>
                <w:i w:val="0"/>
                <w:sz w:val="18"/>
              </w:rPr>
              <w:t>24.6</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10.8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Otros 9 países, un estudio cada uno</w:t>
            </w:r>
          </w:p>
        </w:tc>
        <w:tc>
          <w:tcPr>
            <w:tcW w:type="dxa" w:w="3009"/>
          </w:tcPr>
          <w:p>
            <w:r/>
            <w:r>
              <w:rPr>
                <w:rFonts w:ascii="Times New Roman" w:hAnsi="Times New Roman"/>
                <w:b w:val="0"/>
                <w:i w:val="0"/>
                <w:sz w:val="18"/>
              </w:rPr>
              <w:t>9</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41</w:t>
            </w:r>
          </w:p>
        </w:tc>
        <w:tc>
          <w:tcPr>
            <w:tcW w:type="dxa" w:w="3009"/>
          </w:tcPr>
          <w:p>
            <w:r/>
            <w:r>
              <w:rPr>
                <w:rFonts w:ascii="Times New Roman" w:hAnsi="Times New Roman"/>
                <w:b w:val="0"/>
                <w:i w:val="0"/>
                <w:sz w:val="18"/>
              </w:rPr>
              <w:t>63.1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No asignable en el resumen</w:t>
            </w:r>
          </w:p>
        </w:tc>
        <w:tc>
          <w:tcPr>
            <w:tcW w:type="dxa" w:w="1805"/>
          </w:tcPr>
          <w:p>
            <w:r/>
            <w:r>
              <w:rPr>
                <w:rFonts w:ascii="Times New Roman" w:hAnsi="Times New Roman"/>
                <w:b/>
                <w:i w:val="0"/>
                <w:sz w:val="18"/>
              </w:rPr>
              <w:t>Declarado en el texto completo</w:t>
            </w:r>
          </w:p>
        </w:tc>
        <w:tc>
          <w:tcPr>
            <w:tcW w:type="dxa" w:w="1805"/>
          </w:tcPr>
          <w:p>
            <w:r/>
            <w:r>
              <w:rPr>
                <w:rFonts w:ascii="Times New Roman" w:hAnsi="Times New Roman"/>
                <w:b/>
                <w:i w:val="0"/>
                <w:sz w:val="18"/>
              </w:rPr>
              <w:t>Declarado pero no clasificable</w:t>
            </w:r>
          </w:p>
        </w:tc>
        <w:tc>
          <w:tcPr>
            <w:tcW w:type="dxa" w:w="1805"/>
          </w:tcPr>
          <w:p>
            <w:r/>
            <w:r>
              <w:rPr>
                <w:rFonts w:ascii="Times New Roman" w:hAnsi="Times New Roman"/>
                <w:b/>
                <w:i w:val="0"/>
                <w:sz w:val="18"/>
              </w:rPr>
              <w:t>No declarado en el texto completo</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33 (50.8 %)</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15</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17 (26.2 %)</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5</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32 (49.2 %)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36 (55.4 %)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63 (96.9 %)</w:t>
            </w:r>
          </w:p>
        </w:tc>
        <w:tc>
          <w:tcPr>
            <w:tcW w:type="dxa" w:w="1805"/>
          </w:tcPr>
          <w:p>
            <w:r/>
            <w:r>
              <w:rPr>
                <w:rFonts w:ascii="Times New Roman" w:hAnsi="Times New Roman"/>
                <w:b w:val="0"/>
                <w:i w:val="0"/>
                <w:sz w:val="18"/>
              </w:rPr>
              <w:t>63</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Lo que el criterio del texto completo deja fuera: estudios incluidos frente a excluidos por no disponer del artículo.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Incluidos (texto completo leído)</w:t>
            </w:r>
          </w:p>
        </w:tc>
        <w:tc>
          <w:tcPr>
            <w:tcW w:type="dxa" w:w="3009"/>
          </w:tcPr>
          <w:p>
            <w:r/>
            <w:r>
              <w:rPr>
                <w:rFonts w:ascii="Times New Roman" w:hAnsi="Times New Roman"/>
                <w:b/>
                <w:i w:val="0"/>
                <w:sz w:val="18"/>
              </w:rPr>
              <w:t>Excluidos por no tener el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65</w:t>
            </w:r>
          </w:p>
        </w:tc>
        <w:tc>
          <w:tcPr>
            <w:tcW w:type="dxa" w:w="3009"/>
          </w:tcPr>
          <w:p>
            <w:r/>
            <w:r>
              <w:rPr>
                <w:rFonts w:ascii="Times New Roman" w:hAnsi="Times New Roman"/>
                <w:b w:val="0"/>
                <w:i w:val="0"/>
                <w:sz w:val="18"/>
              </w:rPr>
              <w:t>25</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7</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3.1</w:t>
            </w:r>
          </w:p>
        </w:tc>
        <w:tc>
          <w:tcPr>
            <w:tcW w:type="dxa" w:w="3009"/>
          </w:tcPr>
          <w:p>
            <w:r/>
            <w:r>
              <w:rPr>
                <w:rFonts w:ascii="Times New Roman" w:hAnsi="Times New Roman"/>
                <w:b w:val="0"/>
                <w:i w:val="0"/>
                <w:sz w:val="18"/>
              </w:rPr>
              <w:t>28.0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5</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348</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NOPDF</w:t>
            </w:r>
          </w:p>
        </w:tc>
        <w:tc>
          <w:tcPr>
            <w:tcW w:type="dxa" w:w="1805"/>
          </w:tcPr>
          <w:p>
            <w:r/>
            <w:r>
              <w:rPr>
                <w:rFonts w:ascii="Times New Roman" w:hAnsi="Times New Roman"/>
                <w:b w:val="0"/>
                <w:i w:val="0"/>
                <w:sz w:val="18"/>
              </w:rPr>
              <w:t>Sin PDF del articulo completo con acceso: el texto no se obtuvo, o el estudio solo existe como resumen de congreso o ficha de registro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73 brazos).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i w:val="0"/>
                <w:sz w:val="18"/>
              </w:rPr>
              <w:t>Desenlace</w:t>
            </w:r>
          </w:p>
        </w:tc>
        <w:tc>
          <w:tcPr>
            <w:tcW w:type="dxa" w:w="2256"/>
          </w:tcPr>
          <w:p>
            <w:r/>
            <w:r>
              <w:rPr>
                <w:rFonts w:ascii="Times New Roman" w:hAnsi="Times New Roman"/>
                <w:b/>
                <w:i w:val="0"/>
                <w:sz w:val="18"/>
              </w:rPr>
              <w:t>Con numerador y denominador</w:t>
            </w:r>
          </w:p>
        </w:tc>
        <w:tc>
          <w:tcPr>
            <w:tcW w:type="dxa" w:w="2256"/>
          </w:tcPr>
          <w:p>
            <w:r/>
            <w:r>
              <w:rPr>
                <w:rFonts w:ascii="Times New Roman" w:hAnsi="Times New Roman"/>
                <w:b/>
                <w:i w:val="0"/>
                <w:sz w:val="18"/>
              </w:rPr>
              <w:t>% de los 73 brazos</w:t>
            </w:r>
          </w:p>
        </w:tc>
        <w:tc>
          <w:tcPr>
            <w:tcW w:type="dxa" w:w="2256"/>
          </w:tcPr>
          <w:p>
            <w:r/>
            <w:r>
              <w:rPr>
                <w:rFonts w:ascii="Times New Roman" w:hAnsi="Times New Roman"/>
                <w:b/>
                <w:i w:val="0"/>
                <w:sz w:val="18"/>
              </w:rPr>
              <w:t>% con doble lectura</w:t>
            </w:r>
          </w:p>
        </w:tc>
      </w:tr>
      <w:tr>
        <w:tc>
          <w:tcPr>
            <w:tcW w:type="dxa" w:w="2256"/>
          </w:tcPr>
          <w:p>
            <w:r/>
            <w:r>
              <w:rPr>
                <w:rFonts w:ascii="Times New Roman" w:hAnsi="Times New Roman"/>
                <w:b w:val="0"/>
                <w:i w:val="0"/>
                <w:sz w:val="18"/>
              </w:rPr>
              <w:t>Éxito clínico</w:t>
            </w:r>
          </w:p>
        </w:tc>
        <w:tc>
          <w:tcPr>
            <w:tcW w:type="dxa" w:w="2256"/>
          </w:tcPr>
          <w:p>
            <w:r/>
            <w:r>
              <w:rPr>
                <w:rFonts w:ascii="Times New Roman" w:hAnsi="Times New Roman"/>
                <w:b w:val="0"/>
                <w:i w:val="0"/>
                <w:sz w:val="18"/>
              </w:rPr>
              <w:t>64</w:t>
            </w:r>
          </w:p>
        </w:tc>
        <w:tc>
          <w:tcPr>
            <w:tcW w:type="dxa" w:w="2256"/>
          </w:tcPr>
          <w:p>
            <w:r/>
            <w:r>
              <w:rPr>
                <w:rFonts w:ascii="Times New Roman" w:hAnsi="Times New Roman"/>
                <w:b w:val="0"/>
                <w:i w:val="0"/>
                <w:sz w:val="18"/>
              </w:rPr>
              <w:t>87.7</w:t>
            </w:r>
          </w:p>
        </w:tc>
        <w:tc>
          <w:tcPr>
            <w:tcW w:type="dxa" w:w="2256"/>
          </w:tcPr>
          <w:p>
            <w:r/>
            <w:r>
              <w:rPr>
                <w:rFonts w:ascii="Times New Roman" w:hAnsi="Times New Roman"/>
                <w:b w:val="0"/>
                <w:i w:val="0"/>
                <w:sz w:val="18"/>
              </w:rPr>
              <w:t>98.4</w:t>
            </w:r>
          </w:p>
        </w:tc>
      </w:tr>
      <w:tr>
        <w:tc>
          <w:tcPr>
            <w:tcW w:type="dxa" w:w="2256"/>
          </w:tcPr>
          <w:p>
            <w:r/>
            <w:r>
              <w:rPr>
                <w:rFonts w:ascii="Times New Roman" w:hAnsi="Times New Roman"/>
                <w:b w:val="0"/>
                <w:i w:val="0"/>
                <w:sz w:val="18"/>
              </w:rPr>
              <w:t>Erradicación microbiológica</w:t>
            </w:r>
          </w:p>
        </w:tc>
        <w:tc>
          <w:tcPr>
            <w:tcW w:type="dxa" w:w="2256"/>
          </w:tcPr>
          <w:p>
            <w:r/>
            <w:r>
              <w:rPr>
                <w:rFonts w:ascii="Times New Roman" w:hAnsi="Times New Roman"/>
                <w:b w:val="0"/>
                <w:i w:val="0"/>
                <w:sz w:val="18"/>
              </w:rPr>
              <w:t>53</w:t>
            </w:r>
          </w:p>
        </w:tc>
        <w:tc>
          <w:tcPr>
            <w:tcW w:type="dxa" w:w="2256"/>
          </w:tcPr>
          <w:p>
            <w:r/>
            <w:r>
              <w:rPr>
                <w:rFonts w:ascii="Times New Roman" w:hAnsi="Times New Roman"/>
                <w:b w:val="0"/>
                <w:i w:val="0"/>
                <w:sz w:val="18"/>
              </w:rPr>
              <w:t>72.6</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Mortalidad</w:t>
            </w:r>
          </w:p>
        </w:tc>
        <w:tc>
          <w:tcPr>
            <w:tcW w:type="dxa" w:w="2256"/>
          </w:tcPr>
          <w:p>
            <w:r/>
            <w:r>
              <w:rPr>
                <w:rFonts w:ascii="Times New Roman" w:hAnsi="Times New Roman"/>
                <w:b w:val="0"/>
                <w:i w:val="0"/>
                <w:sz w:val="18"/>
              </w:rPr>
              <w:t>66</w:t>
            </w:r>
          </w:p>
        </w:tc>
        <w:tc>
          <w:tcPr>
            <w:tcW w:type="dxa" w:w="2256"/>
          </w:tcPr>
          <w:p>
            <w:r/>
            <w:r>
              <w:rPr>
                <w:rFonts w:ascii="Times New Roman" w:hAnsi="Times New Roman"/>
                <w:b w:val="0"/>
                <w:i w:val="0"/>
                <w:sz w:val="18"/>
              </w:rPr>
              <w:t>90.4</w:t>
            </w:r>
          </w:p>
        </w:tc>
        <w:tc>
          <w:tcPr>
            <w:tcW w:type="dxa" w:w="2256"/>
          </w:tcPr>
          <w:p>
            <w:r/>
            <w:r>
              <w:rPr>
                <w:rFonts w:ascii="Times New Roman" w:hAnsi="Times New Roman"/>
                <w:b w:val="0"/>
                <w:i w:val="0"/>
                <w:sz w:val="18"/>
              </w:rPr>
              <w:t>98.5</w:t>
            </w:r>
          </w:p>
        </w:tc>
      </w:tr>
      <w:tr>
        <w:tc>
          <w:tcPr>
            <w:tcW w:type="dxa" w:w="2256"/>
          </w:tcPr>
          <w:p>
            <w:r/>
            <w:r>
              <w:rPr>
                <w:rFonts w:ascii="Times New Roman" w:hAnsi="Times New Roman"/>
                <w:b w:val="0"/>
                <w:i w:val="0"/>
                <w:sz w:val="18"/>
              </w:rPr>
              <w:t>Eventos adversos</w:t>
            </w:r>
          </w:p>
        </w:tc>
        <w:tc>
          <w:tcPr>
            <w:tcW w:type="dxa" w:w="2256"/>
          </w:tcPr>
          <w:p>
            <w:r/>
            <w:r>
              <w:rPr>
                <w:rFonts w:ascii="Times New Roman" w:hAnsi="Times New Roman"/>
                <w:b w:val="0"/>
                <w:i w:val="0"/>
                <w:sz w:val="18"/>
              </w:rPr>
              <w:t>65</w:t>
            </w:r>
          </w:p>
        </w:tc>
        <w:tc>
          <w:tcPr>
            <w:tcW w:type="dxa" w:w="2256"/>
          </w:tcPr>
          <w:p>
            <w:r/>
            <w:r>
              <w:rPr>
                <w:rFonts w:ascii="Times New Roman" w:hAnsi="Times New Roman"/>
                <w:b w:val="0"/>
                <w:i w:val="0"/>
                <w:sz w:val="18"/>
              </w:rPr>
              <w:t>89.0</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Emergencia de resistencia al fago</w:t>
            </w:r>
          </w:p>
        </w:tc>
        <w:tc>
          <w:tcPr>
            <w:tcW w:type="dxa" w:w="2256"/>
          </w:tcPr>
          <w:p>
            <w:r/>
            <w:r>
              <w:rPr>
                <w:rFonts w:ascii="Times New Roman" w:hAnsi="Times New Roman"/>
                <w:b w:val="0"/>
                <w:i w:val="0"/>
                <w:sz w:val="18"/>
              </w:rPr>
              <w:t>26</w:t>
            </w:r>
          </w:p>
        </w:tc>
        <w:tc>
          <w:tcPr>
            <w:tcW w:type="dxa" w:w="2256"/>
          </w:tcPr>
          <w:p>
            <w:r/>
            <w:r>
              <w:rPr>
                <w:rFonts w:ascii="Times New Roman" w:hAnsi="Times New Roman"/>
                <w:b w:val="0"/>
                <w:i w:val="0"/>
                <w:sz w:val="18"/>
              </w:rPr>
              <w:t>35.6</w:t>
            </w:r>
          </w:p>
        </w:tc>
        <w:tc>
          <w:tcPr>
            <w:tcW w:type="dxa" w:w="2256"/>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73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73</w:t>
            </w:r>
          </w:p>
        </w:tc>
        <w:tc>
          <w:tcPr>
            <w:tcW w:type="dxa" w:w="3009"/>
          </w:tcPr>
          <w:p>
            <w:r/>
            <w:r>
              <w:rPr>
                <w:rFonts w:ascii="Times New Roman" w:hAnsi="Times New Roman"/>
                <w:b w:val="0"/>
                <w:i w:val="0"/>
                <w:sz w:val="18"/>
              </w:rPr>
              <w:t>73 (65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12</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64 (60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081277"/>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081277"/>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65 estudios).</w:t>
      </w:r>
    </w:p>
    <w:p>
      <w:pPr>
        <w:jc w:val="center"/>
      </w:pPr>
      <w:r>
        <w:drawing>
          <wp:inline xmlns:a="http://schemas.openxmlformats.org/drawingml/2006/main" xmlns:pic="http://schemas.openxmlformats.org/drawingml/2006/picture">
            <wp:extent cx="5120640" cy="2347675"/>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7675"/>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65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cuándo.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65 estudios con publicación recuperable,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65 estudios con su situación y sus informes agrupados, y de los 118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118 estudios que el cribado admitió y el texto completo desmintió, con su código de motivo y la frase del artículo que lo sostiene.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73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68 juicios de riesgo de sesgo, uno por fila, con la frase firmada en que se apoya cada uno.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del artículo cosechadas por tema, que acompañan pero no sustituyen a la firmada.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verificaron los autores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73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30 pares de estudios que podían describir a los mismos pacientes, con la señal que los marcó, el veredicto tras leer los dos artículos, los pacientes compartidos y la frase firmada en que se apoya.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se codificó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