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259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con artículo completo (criterio añadido tras la extracción). Extracción por duplicado e independiente, con 539 de 541 desacuerdos adjudicados por consenso. El riesgo de sesgo se evaluó por consenso, por dominios, en los 9 comparativos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256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with its full article (a criterion added after extraction). Extraction was in duplicate and independent, with 539 of 541 disagreements adjudicated. Risk of bias was assessed by consensus, by domain, in the 9 comparative studies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all seven requirements of a pooled proportion; of the 19 meeting the other six, 14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con artículo completo (criterio añadido tras la extracción). Extracción por duplicado e independiente, con 539 de 541 desacuerdos adjudicados. El riesgo de sesgo se evaluó por consenso, por dominios, en los 9 comparativos (RoB 2, ROBINS-I); no se aplicó GRADE. De 23 057 registros quedaron 17 129 informes únicos; 233 informes formaron 183 estudios evaluados para elegibilidad, de los que 118 se excluyeron, 63 por no disponer del artículo completo. Quedan 65 estudios, todos leídos a texto completo; exigirlo dejó fuera 7 de 9 diseños comparativos. De ellos, el 52,3 % son reportes de caso único y el 3,1 % tiene diseño comparativo según el resumen; la categoría de resistencia no puede asignarse desde el resumen en el 70,8 %. En 43 de 73 brazos extraídos (58,9 %) no consta una definición operativa de éxito clínico. Ningún brazo reúne a la vez los requisitos aritméticos, los de elegibilidad y la métrica de una proporción agrupada.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247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with its full article (a criterion added after extraction). Data were extracted in duplicate and independently, with 539 of 541 disagreements adjudicated. Risk of bias was assessed by consensus, by domain, in the 9 comparative studies (RoB 2, ROBINS-I); GRADE was not applied. From 23 057 records, 17 129 unique reports remained; 233 reports formed 183 studies assessed for eligibility, of which 118 were excluded, 63 for lacking the full article. 65 studies remain, all read in full text; requiring it left out 7 of 9 comparative designs. Of these, 52.3 % are single case reports and 3.1 % have a comparative design by abstract; resistance category cannot be assigned from the abstract in 70.8 %. In 43 of the 73 extracted arms (58.9 %) no operational definition of clinical success is on record. No arm meets all seven requirements of a pooled proportion; of the 19 meeting the other six, 14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