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286; texto principal 9 422.</w:t>
      </w:r>
    </w:p>
    <w:p>
      <w:r>
        <w:rPr>
          <w:b/>
        </w:rPr>
        <w:t>Tablas:</w:t>
      </w:r>
      <w:r>
        <w:t xml:space="preserve"> 7. </w:t>
      </w:r>
      <w:r>
        <w:rPr>
          <w:b/>
        </w:rPr>
        <w:t>Figuras:</w:t>
      </w:r>
      <w:r>
        <w:t xml:space="preserve"> 2. </w:t>
      </w:r>
      <w:r>
        <w:rPr>
          <w:b/>
        </w:rPr>
        <w:t>Material suplementario:</w:t>
      </w:r>
      <w:r>
        <w:t xml:space="preserve"> anexos S0–S24 y S18b,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con su artículo completo: criterio añadido tras la extracción. Extracción manual por duplicado, con consenso: la estructura sale de una pre-extracción desde el resumen; los desenlaces, de la adjudicada.</w:t>
      </w:r>
    </w:p>
    <w:p>
      <w:r>
        <w:rPr>
          <w:b/>
        </w:rPr>
        <w:t>Resultados.</w:t>
      </w:r>
      <w:r>
        <w:t xml:space="preserve"> De 23 057 registros quedaron 17 129 informes únicos; 233 informes formaron 183 estudios y </w:t>
      </w:r>
      <w:r>
        <w:rPr>
          <w:b/>
        </w:rPr>
        <w:t>118 salieron del corpus</w:t>
      </w:r>
      <w:r>
        <w:t xml:space="preserve">: 63 por no disponer del artículo completo —42 solo existían como ficha de registro— y 55 por no cumplir los criterios —protocolos, modelos preclínicos, y artículos donde </w:t>
      </w:r>
      <w:r>
        <w:rPr>
          <w:i/>
        </w:rPr>
        <w:t>P. aeruginosa</w:t>
      </w:r>
      <w:r>
        <w:t xml:space="preserve"> solo figura en el espectro del producto—. Quedan </w:t>
      </w:r>
      <w:r>
        <w:rPr>
          <w:b/>
        </w:rPr>
        <w:t>65</w:t>
      </w:r>
      <w: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i/>
        </w:rPr>
        <w:t>P. aeruginosa</w:t>
      </w:r>
      <w:r>
        <w:t xml:space="preserve"> y el otro mide un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w:t>
      </w:r>
      <w:r>
        <w:t>: los 9 que el diseño adjudicado sobre el artículo identifica como comparativos, todos con texto completo, como el resto del corpus desde el criterio de la sección 2.9. Los ensayos aleatorizados con RoB 2 [@Sterne2019_rob2] y los no aleatorizados y las cohortes con ROBINS-I [@Sterne2016_robinsi].</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duplicado independiente y se resuelven por consenso.</w:t>
      </w:r>
      <w: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r>
        <w:rPr>
          <w:b/>
        </w:rPr>
        <w:t>GRADE no se aplica</w:t>
      </w:r>
      <w:r>
        <w:t>, y el motivo no depende de lo anterior: califica la certeza de una estimación agrupada y esta revisión no presenta ninguna. La sección 3.5 muestra que solo 2 de los 73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solo entran los estudios con el artículo completo.</w:t>
      </w:r>
      <w: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pudo leer</w:t>
      </w:r>
      <w:r>
        <w:t>, que es una propiedad del proceso y no del estudio.</w:t>
      </w:r>
    </w:p>
    <w:p>
      <w:r>
        <w:t xml:space="preserve">Su efecto medido: excluye </w:t>
      </w:r>
      <w:r>
        <w:rPr>
          <w:b/>
        </w:rPr>
        <w:t>4 estudios</w:t>
      </w:r>
      <w:r>
        <w:t xml:space="preserve"> con el código NOREC y </w:t>
      </w:r>
      <w:r>
        <w:rPr>
          <w:b/>
        </w:rPr>
        <w:t>63</w:t>
      </w:r>
      <w: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b/>
        </w:rPr>
        <w:t>todo estudio sin el PDF del artículo completo con acceso</w:t>
      </w:r>
      <w:r>
        <w:t xml:space="preserve"> (código NOPDF): 21 estudios cuyo artículo no se obtuvo —3 de ellos solo existen como resumen de congreso— y 42 que solo existen como ficha de registro de ensayo. El corpus pasó de 128 a 65 estudios.</w:t>
      </w:r>
    </w:p>
    <w:p>
      <w:r>
        <w:t xml:space="preserve">Hasta esa fecha esta misma sección desaconsejaba generalizar NOREC, y el motivo sigue en pie: con el criterio ampliado, la recuperación de texto completo del corpus es del 100 % </w:t>
      </w:r>
      <w:r>
        <w:rPr>
          <w:b/>
        </w:rPr>
        <w:t>por construcción</w:t>
      </w:r>
      <w:r>
        <w:t xml:space="preserve">, y el sesgo de recuperación que la sección 3.2 medía dentro del corpus deja de poder medirse ahí. Por eso se mide como </w:t>
      </w:r>
      <w:r>
        <w:rPr>
          <w:b/>
        </w:rPr>
        <w:t>efecto del criterio</w:t>
      </w:r>
      <w:r>
        <w:t xml:space="preserve"> (Tabla 3). Contando las dos fechas, el criterio deja fuera 67 estudios, y no son una muestra aleatoria: se lleva </w:t>
      </w:r>
      <w:r>
        <w:rPr>
          <w:b/>
        </w:rPr>
        <w:t>7 de los 9 diseños comparativos (77,8 %)</w:t>
      </w:r>
      <w:r>
        <w:t xml:space="preserve"> y 5 de los 7 ensayos aleatorizados. Los autores lo adoptaron conociendo ese efecto, y se declara aquí, con su fecha, en lugar de presentarse como si hubiera regido desde el principio.</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De ellos, </w:t>
      </w:r>
      <w:r>
        <w:rPr>
          <w:b/>
        </w:rPr>
        <w:t>118 salieron del corpus</w:t>
      </w:r>
      <w:r>
        <w:t xml:space="preserve">: 63 por no disponer del PDF del artículo completo (sección 2.9) y 55 por no cumplir los criterios de elegibilidad, comprobado sobre el artículo o sobre la ficha del registro; el apartado siguiente los detalla. El cuerpo de evidencia queda en </w:t>
      </w:r>
      <w:r>
        <w:rPr>
          <w:b/>
        </w:rPr>
        <w:t>65 estudios</w:t>
      </w:r>
      <w: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118 estudios que el cribado admitió y que salieron después</w:t>
      </w:r>
    </w:p>
    <w:p>
      <w:r>
        <w:rPr>
          <w:b/>
        </w:rPr>
        <w:t>Sesenta y tres salieron por no disponer del artículo completo</w:t>
      </w:r>
      <w: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no cumplir los criterios.</w:t>
      </w:r>
    </w:p>
    <w:p>
      <w:r>
        <w:rPr>
          <w:b/>
        </w:rPr>
        <w:t>Treinta y ocho salieron al juzgarlos sobre su publicación.</w:t>
      </w:r>
      <w:r>
        <w:t xml:space="preserve"> Se excluyeron por ocho motivos, y ninguno es una discrepancia de criterio: son estudios que no cumplen lo que la sección 2.2 ya exigía. </w:t>
      </w:r>
      <w:r>
        <w:rPr>
          <w:b/>
        </w:rPr>
        <w:t>Treinta</w:t>
      </w:r>
      <w:r>
        <w:t xml:space="preserve"> salieron de leer su artículo.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rPr>
          <w:b/>
        </w:rPr>
        <w:t>Cuatro más</w:t>
      </w:r>
      <w:r>
        <w:t xml:space="preserve"> salieron por </w:t>
      </w:r>
      <w:r>
        <w:rPr>
          <w:b/>
        </w:rPr>
        <w:t>idioma</w:t>
      </w:r>
      <w: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b/>
        </w:rPr>
        <w:t>30,1 %</w:t>
      </w:r>
      <w:r>
        <w:t xml:space="preserve"> de los 93 estudios cuyo texto completo se pudo leer. Es un suelo, no un total: los 63 que salieron por no disponer del artículo nunca se comprobaron contra él.</w:t>
      </w:r>
    </w:p>
    <w:p>
      <w:r>
        <w:rPr>
          <w:b/>
        </w:rPr>
        <w:t>Otros 17 estudios salieron por una vía distinta: la ficha de su registro.</w:t>
      </w:r>
      <w:r>
        <w:t xml:space="preserve"> Los 38 anteriores se juzgaron sobre su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superaron el criterio de población; como ninguna tiene artículo publicado, salieron después por el criterio del texto completo (sección 2.9).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Los 65 estudios del corpus tienen todos su artículo completo. Antes del criterio del texto completo, </w:t>
      </w:r>
      <w:r>
        <w:rPr>
          <w:b/>
        </w:rPr>
        <w:t>42 de los 128 estudios eran únicamente fichas de registro de ensayo</w:t>
      </w:r>
      <w:r>
        <w:t>, sin publicación asociada localizable. Esa cifra, que el criterio saca del corpus pero no del campo, basta por sí sola para describir una literatura en la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Los 65 estudios del corpus tienen su texto completo, obtenido por vías de acceso abierto legítimas. Desde el criterio de la sección 2.9 esa es la condición de entrada, de modo que la tasa del </w:t>
      </w:r>
      <w:r>
        <w:rPr>
          <w:b/>
        </w:rPr>
        <w:t>100,0 %</w:t>
      </w:r>
      <w:r>
        <w:t xml:space="preserve"> no mide la recuperación, sino el criterio. La recuperación se mide justo antes de él: el texto se había obtenido para </w:t>
      </w:r>
      <w:r>
        <w:rPr>
          <w:b/>
        </w:rPr>
        <w:t>65 de los 86 estudios con artículo o resumen (75,6 %)</w:t>
      </w:r>
      <w: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r>
        <w:t xml:space="preserve">La fracción no obtenida </w:t>
      </w:r>
      <w:r>
        <w:rPr>
          <w:b/>
        </w:rPr>
        <w:t>no era una muestra aleatoria del conjunto</w:t>
      </w:r>
      <w:r>
        <w:t xml:space="preserve"> (Tabla 3), y el criterio que la excluye tampoco lo es. Contando los 4 estudios de NOREC, los estudios que el criterio deja fuera contienen 7 de los 9 diseños comparativos, el </w:t>
      </w:r>
      <w:r>
        <w:rPr>
          <w:b/>
        </w:rPr>
        <w:t>77,8 %</w:t>
      </w:r>
      <w:r>
        <w:t>, aunque declaran menos pacientes en total. De los 7 ensayos aleatorizados identificados con artículo o resumen, el corpus conserva 2 —PhagoBurn [@Jault2019_phagoburn] y BX004-A [@Weiner2025_natcomms]—, y los otros 5 salieron por el criterio, entre ellos el de TP-102 [@NirPaz2025_med_tp102].</w:t>
      </w:r>
    </w:p>
    <w:p>
      <w: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pStyle w:val="Heading2"/>
      </w:pPr>
      <w:r>
        <w:t>3.3 Características del cuerpo de evidencia</w:t>
      </w:r>
    </w:p>
    <w:p>
      <w:r>
        <w:t xml:space="preserve">Los 65 estudios del corpus se publicaron entre </w:t>
      </w:r>
      <w:r>
        <w:rPr>
          <w:b/>
        </w:rPr>
        <w:t>2017 y 2026</w:t>
      </w:r>
      <w:r>
        <w:t xml:space="preserve">, y el </w:t>
      </w:r>
      <w:r>
        <w:rPr>
          <w:b/>
        </w:rPr>
        <w:t>86,2 %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34 reportes de caso único (52,3 %)</w:t>
      </w:r>
      <w:r>
        <w:t xml:space="preserve">, 16 series de casos, 7 cohortes prospectivas, 2 ensayos aleatorizados, 0 ensayos no aleatorizados y 3 cohortes retrospectivas. Otros 3 no declaran su diseño de forma reconocible en el resumen. Los comparativos suman </w:t>
      </w:r>
      <w:r>
        <w:rPr>
          <w:b/>
        </w:rPr>
        <w:t>2 estudios, el 3,1 %</w:t>
      </w:r>
      <w:r>
        <w:t xml:space="preserve"> del total, y son los únicos capaces de sostener una afirmación de eficacia relativa.</w:t>
      </w:r>
    </w:p>
    <w:p>
      <w: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70,8 %</w:t>
      </w:r>
      <w: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49,2 %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26,2 %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96,9 %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73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y EST-096, que también se mantienen.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73 brazos del corpus vigente.</w:t>
      </w:r>
    </w:p>
    <w:p>
      <w: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87,7 % es, sin embargo, engañoso si se lee como disponibilidad para agregar. </w:t>
      </w:r>
      <w:r>
        <w:rPr>
          <w:b/>
        </w:rPr>
        <w:t>En 43 de los 73 brazos (58,9 %) no consta una definición operativa de éxito clínico</w:t>
      </w:r>
      <w: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r>
        <w:t xml:space="preserve">El diseño consta en los 73 brazos: </w:t>
      </w:r>
      <w:r>
        <w:rPr>
          <w:b/>
        </w:rPr>
        <w:t>4 brazos son ensayos</w:t>
      </w:r>
      <w:r>
        <w:t xml:space="preserve"> (aleatorizados o no) y </w:t>
      </w:r>
      <w:r>
        <w:rPr>
          <w:b/>
        </w:rPr>
        <w:t>8 son cohortes</w:t>
      </w:r>
      <w: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73</w:t>
      </w:r>
      <w:r>
        <w:t>. Los dos siguientes son los criterios de elegibilidad que esta misma revisión declara en la sección 2.2, y solo uno de esos 2 los sobrevive.</w:t>
      </w:r>
    </w:p>
    <w:p>
      <w:r>
        <w:t xml:space="preserve">El primero es que el desenlace pueda atribuirse a </w:t>
      </w:r>
      <w:r>
        <w:rPr>
          <w:i/>
        </w:rPr>
        <w:t>P. aeruginosa</w:t>
      </w:r>
      <w: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73 brazos de esta literatura, </w:t>
      </w:r>
      <w:r>
        <w:rPr>
          <w:b/>
        </w:rPr>
        <w:t>ninguno reúne a la vez las condiciones aritméticas, los criterios de elegibilidad y la métrica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r>
        <w:rPr>
          <w:b/>
        </w:rPr>
        <w:t>Desenlace.</w:t>
      </w:r>
      <w:r>
        <w:t xml:space="preserve"> En los artículos del corpus,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Los 2 ensayos aleatorizados del corpus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efecto del criterio del texto completo documentado en la sección 3.2: 7 de los 9 diseños comparativos que el corpus habría podido aportar a una síntesis quedaron fuera de él.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dos revisores evaluaron por separado 8 de los 9 estudios evaluables y coincidieron en 49 de los 60 juicios comparables (81,7 %; kappa de Cohen 0,74). Los 11 restantes se discutieron uno a uno y se resolvieron por consenso, los 11 en la misma dirección.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siete y todas materiales. </w:t>
      </w:r>
      <w:r>
        <w:rPr>
          <w:b/>
        </w:rPr>
        <w:t>Primera:</w:t>
      </w:r>
      <w: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y la concordancia previa al consenso fue del 81,7 % (49 de 60 juicios; kappa de Cohen 0,74), con 11 desacuerdos resueltos todos en la misma dirección. </w:t>
      </w:r>
      <w:r>
        <w:rPr>
          <w:b/>
        </w:rPr>
        <w:t>Quinta:</w:t>
      </w:r>
      <w: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b/>
        </w:rPr>
        <w:t>Séptima:</w:t>
      </w:r>
      <w:r>
        <w:t xml:space="preserve"> el corpus cuenta informes y estudios, no pacientes distintos, y contiene </w:t>
      </w:r>
      <w:r>
        <w:rPr>
          <w:b/>
        </w:rPr>
        <w:t>20 pacientes descritos en más de un estudio</w:t>
      </w:r>
      <w: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y 15 los encontró la lectura. 19 se confirmaron, 11 se descartaron y </w:t>
      </w:r>
      <w:r>
        <w:rPr>
          <w:b/>
        </w:rPr>
        <w:t>ninguno queda sin leer</w:t>
      </w:r>
      <w: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65 estudios).</w:t>
      </w:r>
    </w:p>
    <w:p>
      <w:r>
        <w:rPr>
          <w:b/>
        </w:rPr>
        <w:t>Tabla 2.</w:t>
      </w:r>
      <w:r>
        <w:t xml:space="preserve"> Completitud del reporte en las variables críticas para la estratificación.</w:t>
      </w:r>
    </w:p>
    <w:p>
      <w:r>
        <w:rPr>
          <w:b/>
        </w:rPr>
        <w:t>Tabla 3.</w:t>
      </w:r>
      <w:r>
        <w:t xml:space="preserve"> Lo que el criterio del texto completo deja fuera: estudios incluidos frente a excluidos por no disponer del artículo.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73 brazos).</w:t>
      </w:r>
    </w:p>
    <w:p>
      <w:r>
        <w:rPr>
          <w:b/>
        </w:rPr>
        <w:t>Tabla 6.</w:t>
      </w:r>
      <w:r>
        <w:t xml:space="preserve"> Brazos que sobreviven a cada requisito de una proporción agrupada de éxito clínico (n = 73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i/>
        </w:rPr>
        <w:t>Fuente.</w:t>
      </w:r>
      <w:r>
        <w:t xml:space="preserve"> Canal de cribado del proyecto; última ejecución de la búsqueda, 10 de agosto de 2026.</w:t>
      </w:r>
    </w:p>
    <w:p>
      <w:r>
        <w:rPr>
          <w:b/>
        </w:rPr>
        <w:t>Figura 2. Composición del cuerpo de evidencia recuperable (n = 65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65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cuándo.</w:t>
      </w:r>
    </w:p>
    <w:p>
      <w:pPr>
        <w:pStyle w:val="ListBullet"/>
      </w:pPr>
      <w:r>
        <w:rPr>
          <w:b/>
        </w:rPr>
        <w:t>S4.</w:t>
      </w:r>
      <w:r>
        <w:t xml:space="preserve"> Pre-extracción desde el resumen de los 65 estudios con publicación recuperable, marcada como parcial en cada registro.</w:t>
      </w:r>
    </w:p>
    <w:p>
      <w:pPr>
        <w:pStyle w:val="ListBullet"/>
      </w:pPr>
      <w:r>
        <w:rPr>
          <w:b/>
        </w:rPr>
        <w:t>S5.</w:t>
      </w:r>
      <w:r>
        <w:t xml:space="preserve"> Listado de los 65 estudios con su situación y sus informes agrupados, y de los 118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S16.</w:t>
      </w:r>
      <w:r>
        <w:t xml:space="preserve"> Los 118 estudios que el cribado admitió y el texto completo desmintió, con su código de motivo y la frase del artículo que lo sostiene.</w:t>
      </w:r>
    </w:p>
    <w:p>
      <w:pPr>
        <w:pStyle w:val="ListBullet"/>
      </w:pPr>
      <w:r>
        <w:rPr>
          <w:b/>
        </w:rPr>
        <w:t>S17.</w:t>
      </w:r>
      <w:r>
        <w:t xml:space="preserve"> La Tabla 6 desglosada: los siete requisitos, brazo a brazo sobre los 73 brazos, con el primero que falla y por qué.</w:t>
      </w:r>
    </w:p>
    <w:p>
      <w:pPr>
        <w:pStyle w:val="ListBullet"/>
      </w:pPr>
      <w:r>
        <w:rPr>
          <w:b/>
        </w:rPr>
        <w:t>S18.</w:t>
      </w:r>
      <w:r>
        <w:t xml:space="preserve"> Los 68 juicios de riesgo de sesgo, uno por fila, con la frase firmada en que se apoya cada uno.</w:t>
      </w:r>
    </w:p>
    <w:p>
      <w:pPr>
        <w:pStyle w:val="ListBullet"/>
      </w:pPr>
      <w:r>
        <w:rPr>
          <w:b/>
        </w:rPr>
        <w:t>S18b.</w:t>
      </w:r>
      <w:r>
        <w:t xml:space="preserve"> Las frases del artículo cosechadas por tema, que acompañan pero no sustituyen a la firmada.</w:t>
      </w:r>
    </w:p>
    <w:p>
      <w:pPr>
        <w:pStyle w:val="ListBullet"/>
      </w:pPr>
      <w:r>
        <w:rPr>
          <w:b/>
        </w:rPr>
        <w:t>S19.</w:t>
      </w:r>
      <w:r>
        <w:t xml:space="preserve"> Qué modelo emitió las decisiones de cribado, cuándo, sobre qué ficheros, qué verificaron los autores y qué NO quedó registrado, marcado como dato faltante.</w:t>
      </w:r>
    </w:p>
    <w:p>
      <w:pPr>
        <w:pStyle w:val="ListBullet"/>
      </w:pPr>
      <w:r>
        <w:rPr>
          <w:b/>
        </w:rPr>
        <w:t>S20.</w:t>
      </w:r>
      <w:r>
        <w:t xml:space="preserve"> De qué informe salió cada uno de los 73 brazos, y con qué prueba se estableció el vínculo.</w:t>
      </w:r>
    </w:p>
    <w:p>
      <w:pPr>
        <w:pStyle w:val="ListBullet"/>
      </w:pPr>
      <w:r>
        <w:rPr>
          <w:b/>
        </w:rPr>
        <w:t>S21.</w:t>
      </w:r>
      <w:r>
        <w:t xml:space="preserve"> Los 30 pares de estudios que podían describir a los mismos pacientes, con la señal que los marcó, el veredicto tras leer los dos artículos, los pacientes compartidos y la frase firmada en que se apoya.</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se codificó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