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jc w:val="both"/>
      </w:pPr>
      <w:r>
        <w:rPr>
          <w:rFonts w:ascii="Times New Roman" w:hAnsi="Times New Roman"/>
          <w:b w:val="0"/>
          <w:i/>
          <w:sz w:val="21"/>
        </w:rPr>
        <w:t>Antes de firmar nada: si este informe se envía.</w:t>
      </w:r>
      <w:r>
        <w:rPr>
          <w:rFonts w:ascii="Times New Roman" w:hAnsi="Times New Roman"/>
          <w:b w:val="0"/>
          <w:i w:val="0"/>
          <w:sz w:val="21"/>
        </w:rPr>
        <w:t xml:space="preserve"> El protocolo de la fase definitiva (borrador para OSF, protocolo_revision_sistematica.md) dice: «El informe de la fase piloto no se ha enviado a ninguna revista y no se enviará como tal.» Firmar esta cesión es enviarlo. Los autores deciden antes: o no se envía, o se cambia esa frase del protocolo antes de depositarlo y el manuscrito se presenta como piloto.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D. Valdiviezo</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A03020"/>
          <w:sz w:val="20"/>
        </w:rPr>
        <w:t>ATENCIÓN: lo firman los dos autores, y la aprobación escrita de N. Trelles sobre esta versión no consta todavía: su CRediT lleva aún el marcador ‹‹N. TRELLES: REVISIÓN Y EDICIÓN DEL MANUSCRITO, SOLO CUANDO CONSTE POR ESCRITO››. Ver el punto pendiente al final. Antes de aprobar, N. Trelles tiene que conocer o ratificar lo que se lista al final de esta hoja.</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Decisión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en primer lugar y N. Trelles en segundo,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en cuanto a personas: las únicas que intervinieron son los dos autores. Un modelo de lenguaje intervino en todas las fases y no puede ser autor; la declaración «Uso de inteligencia artificial» del manuscrito lo dice así: «Ninguna herramienta de IA figura como autora, conforme a las recomendaciones del ICMJE.»</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figura como autor de correspondencia. ATENCIÓN: esto obliga a D. Valdiviezo a haber recabado la aprobación escrita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en la lista del manuscrito. Ver también la declaración «Uso de inteligencia artificial» del manuscrito, en Declaraciones, que no se retira: dice, entre otras cosas, que el modelo de lenguaje «redactó los borradores del manuscrito, de los anexos, de la carta de presentación y de los registros de decisión».</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envió;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A03020"/>
          <w:sz w:val="20"/>
        </w:rPr>
        <w:t>OJO: hoy no se cumple 1: el cuerpo en 30 páginas del PDF maquetado antes de las referencias, con un límite de 25.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 xml:space="preserve">Firmar el punto 8 es aceptar las normas de formato de la revista, leídas en su web el 14 de septiembre de 2026. Las cinco que fallaban ese día se corrigieron entonces: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 Hoy </w:t>
      </w:r>
      <w:r>
        <w:rPr>
          <w:rFonts w:ascii="Times New Roman" w:hAnsi="Times New Roman"/>
          <w:b w:val="0"/>
          <w:i/>
          <w:sz w:val="21"/>
        </w:rPr>
        <w:t>no cumple 1</w:t>
      </w:r>
      <w:r>
        <w:rPr>
          <w:rFonts w:ascii="Times New Roman" w:hAnsi="Times New Roman"/>
          <w:b w:val="0"/>
          <w:i w:val="0"/>
          <w:sz w:val="21"/>
        </w:rPr>
        <w:t>:</w:t>
      </w:r>
    </w:p>
    <w:p>
      <w:pPr>
        <w:spacing w:after="60"/>
        <w:ind w:left="504" w:hanging="504"/>
      </w:pPr>
      <w:r>
        <w:rPr>
          <w:rFonts w:ascii="Times New Roman" w:hAnsi="Times New Roman"/>
          <w:b w:val="0"/>
          <w:i w:val="0"/>
          <w:sz w:val="21"/>
        </w:rPr>
        <w:t>• el cuerpo en 30 páginas del PDF maquetado antes de las referencias, con un límite de 25.</w:t>
      </w:r>
    </w:p>
    <w:p>
      <w:pPr>
        <w:spacing w:before="160"/>
      </w:pPr>
      <w:r>
        <w:rPr>
          <w:rFonts w:ascii="Times New Roman" w:hAnsi="Times New Roman"/>
          <w:b w:val="0"/>
          <w:i w:val="0"/>
          <w:sz w:val="21"/>
        </w:rPr>
        <w:t>Cumple en cambio: A4, márgenes de 3 cm, Times New Roman 12, una columna a interlineado 1,5, párrafos justificados y sin espacio entre consecutivos, las keywords en el mismo orden que las palabras clave, como pide la norma, decimales con coma, millares con espacio fino, título en mayúscula sostenida, negrita y 18 pt, resalte en cursiva y no en negrita, palabras clave en negrita y cursiva, como pide la directriz, figuras en PNG, además del PDF vectorial, título de 19 palabras, con un máximo de 20, resumen de 250 palabras, contadas como Word, con un máximo de 250, 5 palabras clave, entre 3 y 5, palabras clave en orden alfabético.</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 Del mismo escrito depende el marcador ‹‹N. TRELLES: REVISIÓN Y EDICIÓN DEL MANUSCRITO, SOLO CUANDO CONSTE POR ESCRITO›› del CRediT de N. Trelles en el manuscrito: lo que nombra se añade solo si consta por escrito, y si no consta el marcador se borra sin añadirlo.</w:t>
      </w:r>
    </w:p>
    <w:p>
      <w:pPr>
        <w:jc w:val="both"/>
      </w:pPr>
      <w:r>
        <w:rPr>
          <w:rFonts w:ascii="Times New Roman" w:hAnsi="Times New Roman"/>
          <w:b w:val="0"/>
          <w:i w:val="0"/>
          <w:sz w:val="21"/>
        </w:rPr>
        <w:t>Del mismo escrito depende la frase de la declaración «Uso de inteligencia artificial»: «D.V. asume la responsabilidad por la exactitud e integridad del trabajo; la de N.T. queda pendiente de su aprobación escrita.» Cuando conste, se cambia en el maestro y se copia igual al manuscrito de la revista; mientras no conste, se queda como está.</w:t>
      </w:r>
    </w:p>
    <w:p>
      <w:pPr>
        <w:jc w:val="both"/>
      </w:pPr>
      <w:r>
        <w:rPr>
          <w:rFonts w:ascii="Times New Roman" w:hAnsi="Times New Roman"/>
          <w:b w:val="0"/>
          <w:i/>
          <w:sz w:val="21"/>
        </w:rPr>
        <w:t>Antes de que N. Trelles apruebe esta versión y firme.</w:t>
      </w:r>
      <w:r>
        <w:rPr>
          <w:rFonts w:ascii="Times New Roman" w:hAnsi="Times New Roman"/>
          <w:b w:val="0"/>
          <w:i w:val="0"/>
          <w:sz w:val="21"/>
        </w:rPr>
        <w:t xml:space="preserve"> De las 118 exclusiones a texto completo, 89 las firmaron los dos autores, 2 las firmó D.V. solo y 27 se registraron por orden de D.V. sin que conste la firma de N.T. Firmar el punto 1 es estar de acuerdo con ese contenido, y N. Trelles tiene que conocer o ratificar antes esto:</w:t>
      </w:r>
    </w:p>
    <w:p>
      <w:pPr>
        <w:spacing w:after="60"/>
        <w:ind w:left="504" w:hanging="504"/>
        <w:jc w:val="both"/>
      </w:pPr>
      <w:r>
        <w:rPr>
          <w:rFonts w:ascii="Times New Roman" w:hAnsi="Times New Roman"/>
          <w:b w:val="0"/>
          <w:i w:val="0"/>
          <w:sz w:val="21"/>
        </w:rPr>
        <w:t xml:space="preserve">• </w:t>
      </w:r>
      <w:r>
        <w:rPr>
          <w:rFonts w:ascii="Times New Roman" w:hAnsi="Times New Roman"/>
          <w:b w:val="0"/>
          <w:i/>
          <w:sz w:val="21"/>
        </w:rPr>
        <w:t>Las 27 exclusiones registradas por orden de D.V. sin firma de N.T.</w:t>
      </w:r>
      <w:r>
        <w:rPr>
          <w:rFonts w:ascii="Times New Roman" w:hAnsi="Times New Roman"/>
          <w:b w:val="0"/>
          <w:i w:val="0"/>
          <w:sz w:val="21"/>
        </w:rPr>
        <w:t xml:space="preserve"> Se registraron el 1 y el 2 de septiembre de 2026 por orden de D.V.; figuraban a nombre de los dos autores sin cuaderno firmado detrás, y desde el 15 de octubre exclusiones_tras_texto_completo.csv dice que no consta la firma de N.T. Si N.T. está de acuerdo, las ratifica por escrito en un cuaderno de firma como los demás, que entra por un guion ingest_*, nunca escrito a mano en el CSV. Mientras no lo haga, los documentos dicen que no consta su firma (ver quality_reports/decisions/2026-10-15_firmas-de-n-trelles-sin-respaldo.md).</w:t>
      </w:r>
    </w:p>
    <w:p>
      <w:pPr>
        <w:spacing w:after="60"/>
        <w:ind w:left="504" w:hanging="504"/>
        <w:jc w:val="both"/>
      </w:pPr>
      <w:r>
        <w:rPr>
          <w:rFonts w:ascii="Times New Roman" w:hAnsi="Times New Roman"/>
          <w:b w:val="0"/>
          <w:i w:val="0"/>
          <w:sz w:val="21"/>
        </w:rPr>
        <w:t xml:space="preserve">• </w:t>
      </w:r>
      <w:r>
        <w:rPr>
          <w:rFonts w:ascii="Times New Roman" w:hAnsi="Times New Roman"/>
          <w:b w:val="0"/>
          <w:i/>
          <w:sz w:val="21"/>
        </w:rPr>
        <w:t>El mensaje del 1 de septiembre de 2026 con el que se pidió a N.T. firmar las correcciones de modalidad lo redactó el modelo.</w:t>
      </w:r>
      <w:r>
        <w:rPr>
          <w:rFonts w:ascii="Times New Roman" w:hAnsi="Times New Roman"/>
          <w:b w:val="0"/>
          <w:i w:val="0"/>
          <w:sz w:val="21"/>
        </w:rPr>
        <w:t xml:space="preserve"> Lo redactó el modelo en primera persona de D.V., y presentaba como lectura de D.V. la que había hecho el modelo; N.T. firmó con ese texto delante. N.T. tiene que saberlo antes de aprobar la versión final (ver revision_sistematica/extraccion/firma_nataly/NOTA_2026-10-15.md).</w:t>
      </w:r>
    </w:p>
    <w:p>
      <w:pPr>
        <w:spacing w:after="60"/>
        <w:ind w:left="504" w:hanging="504"/>
        <w:jc w:val="both"/>
      </w:pPr>
      <w:r>
        <w:rPr>
          <w:rFonts w:ascii="Times New Roman" w:hAnsi="Times New Roman"/>
          <w:b w:val="0"/>
          <w:i w:val="0"/>
          <w:sz w:val="21"/>
        </w:rPr>
        <w:t xml:space="preserve">• </w:t>
      </w:r>
      <w:r>
        <w:rPr>
          <w:rFonts w:ascii="Times New Roman" w:hAnsi="Times New Roman"/>
          <w:b w:val="0"/>
          <w:i/>
          <w:sz w:val="21"/>
        </w:rPr>
        <w:t>Los 2 descartes de solapamiento del modelo sin firma.</w:t>
      </w:r>
      <w:r>
        <w:rPr>
          <w:rFonts w:ascii="Times New Roman" w:hAnsi="Times New Roman"/>
          <w:b w:val="0"/>
          <w:i w:val="0"/>
          <w:sz w:val="21"/>
        </w:rPr>
        <w:t xml:space="preserve"> De los 30 pares de estudios que podían compartir pacientes, 28 veredictos llevan la firma de los dos autores; los otros 2 los descartó la lectura del modelo del 22 de septiembre de 2026, y no consta la firma de ninguno de los dos autores. Los autores deciden si los firman, por escrito (ver quality_reports/decisions/2026-10-15_firmas-de-n-trelles-sin-respaldo.md).</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