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295; texto principal 10 499.</w:t>
      </w:r>
    </w:p>
    <w:p>
      <w:pPr>
        <w:jc w:val="both"/>
      </w:pPr>
      <w:r>
        <w:rPr>
          <w:rFonts w:ascii="Times New Roman" w:hAnsi="Times New Roman"/>
          <w:b w:val="0"/>
          <w:i/>
          <w:sz w:val="22"/>
        </w:rPr>
        <w:t>Tablas:</w:t>
      </w:r>
      <w:r>
        <w:rPr>
          <w:rFonts w:ascii="Times New Roman" w:hAnsi="Times New Roman"/>
          <w:b w:val="0"/>
          <w:i w:val="0"/>
          <w:sz w:val="22"/>
        </w:rPr>
        <w:t xml:space="preserve"> 7.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anexos S0–S24 y S18b,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con su artículo completo: criterio añadido tras la extracción. Extracción manual por duplicado, sin independencia acreditada, y adjudicada: la estructura sale de una pre-extracción del modelo desde el resumen; los desenlaces, de la extracción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y </w:t>
      </w:r>
      <w:r>
        <w:rPr>
          <w:rFonts w:ascii="Times New Roman" w:hAnsi="Times New Roman"/>
          <w:b w:val="0"/>
          <w:i/>
          <w:sz w:val="22"/>
        </w:rPr>
        <w:t>118 salieron del corpus</w:t>
      </w:r>
      <w:r>
        <w:rPr>
          <w:rFonts w:ascii="Times New Roman" w:hAnsi="Times New Roman"/>
          <w:b w:val="0"/>
          <w:i w:val="0"/>
          <w:sz w:val="22"/>
        </w:rPr>
        <w:t xml:space="preserve">: 63 por no disponer del artículo completo —42 solo existían como ficha de registro— y 55 por los criterios (en 11 no pudieron verificarse)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65</w:t>
      </w:r>
      <w:r>
        <w:rPr>
          <w:rFonts w:ascii="Times New Roman" w:hAnsi="Times New Roman"/>
          <w:b w:val="0"/>
          <w:i w:val="0"/>
          <w:sz w:val="22"/>
        </w:rP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rFonts w:ascii="Times New Roman" w:hAnsi="Times New Roman"/>
          <w:b w:val="0"/>
          <w:i/>
          <w:sz w:val="22"/>
        </w:rPr>
        <w:t>P. aeruginosa</w:t>
      </w:r>
      <w:r>
        <w:rPr>
          <w:rFonts w:ascii="Times New Roman" w:hAnsi="Times New Roman"/>
          <w:b w:val="0"/>
          <w:i w:val="0"/>
          <w:sz w:val="22"/>
        </w:rPr>
        <w:t xml:space="preserve"> y el otro mide un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Las ejecuciones documentadas de las búsquedas son del 3 y el 4 de agosto de 2026, y la exportación de BVS se incorporó al corpus el 10 de agosto; la ejecución de Scopus cuya exportación entró al corpus no tiene fecha registrada, y el fichero exportado de su brazo B se terminó de escribir el 5 de agosto.</w:t>
      </w:r>
    </w:p>
    <w:p>
      <w:pPr>
        <w:jc w:val="both"/>
      </w:pPr>
      <w:r>
        <w:rPr>
          <w:rFonts w:ascii="Times New Roman" w:hAnsi="Times New Roman"/>
          <w:b w:val="0"/>
          <w:i w:val="0"/>
          <w:sz w:val="22"/>
        </w:rPr>
        <w:t>Las ecuaciones de cada plataforma y sus reglas de diseño las redactó el modelo de lenguaje cuya intervención se declara en la sección 2.4 (3 de agosto de 2026). Según declara D.V. (8 de octubre de 2026), las ejecutó en cada interfaz con la guía del modelo; los mensajes de los commits del 3 de agosto de 2026, que redactó el modelo, narran esa ejecución en primera persona. Los registros de PubMed y de ClinicalTrials.gov que entraron al corpus se descargaron por API con guiones escritos por el modelo, y los recuentos de ClinicalTrials.gov se cuadraron con los de la interfaz. Las ecuaciones se aportan íntegras como suplemento, con la sintaxis literal de cada interfaz y el número de resultados,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acabaron usando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pero </w:t>
      </w:r>
      <w:r>
        <w:rPr>
          <w:rFonts w:ascii="Times New Roman" w:hAnsi="Times New Roman"/>
          <w:b w:val="0"/>
          <w:i/>
          <w:sz w:val="22"/>
        </w:rPr>
        <w:t>no estaba fijado antes de empezar</w:t>
      </w:r>
      <w:r>
        <w:rPr>
          <w:rFonts w:ascii="Times New Roman" w:hAnsi="Times New Roman"/>
          <w:b w:val="0"/>
          <w:i w:val="0"/>
          <w:sz w:val="22"/>
        </w:rPr>
        <w:t>: las decisiones del primer día de cribado de títulos, el 4 de agosto de 2026, llevan el motivo en texto libre, y los seis códigos, cuya redacción procede de esos textos, se usaron desde el día siguiente; las exclusiones de ese primer día se asignaron después a un código. Ese mismo día el modelo añadió, a mitad de lote, dos reglas que concretan los criterios, sin que conste una decisión de los autores: las endolisinas aisladas quedan fuera por la intervención, y los informes veterinarios, por la población. Un motivo que no encaje en uno de los seis no recibe un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decisiones registro a registro de las etapas 2 y 3 las emitió un modelo de lenguaje (Claude Opus 5, Anthropic) como </w:t>
      </w:r>
      <w:r>
        <w:rPr>
          <w:rFonts w:ascii="Times New Roman" w:hAnsi="Times New Roman"/>
          <w:b w:val="0"/>
          <w:i/>
          <w:sz w:val="22"/>
        </w:rPr>
        <w:t>revisor único, sin duplicación</w:t>
      </w:r>
      <w:r>
        <w:rPr>
          <w:rFonts w:ascii="Times New Roman" w:hAnsi="Times New Roman"/>
          <w:b w:val="0"/>
          <w:i w:val="0"/>
          <w:sz w:val="22"/>
        </w:rPr>
        <w:t>: 13 917 decisiones de título y 460 de resumen. D.V. fue el único revisor humano. Según declara (8 de octubre de 2026), examinó uno a uno los informes que superaron el cribado, pero ese examen no quedó registrado. La agrupación de esos informes en estudios la propuso un guion escrito por el modelo, y se aporta íntegra (S5). Los registros que el modelo excluyó no los releyó ningún humano, salvo la muestra de la sección 2.5. Cada decisión del cribado vigente quedó registrada con su motivo y su marca de tiempo en un registro solo-anexar que se aporta íntegro (S3); la primera pasada del 4 de agosto sobre el brazo A de PubMed, que el cribado del pozo sustituyó, consta en el repositorio y no en S3.</w:t>
      </w:r>
    </w:p>
    <w:p>
      <w:pPr>
        <w:jc w:val="both"/>
      </w:pPr>
      <w:r>
        <w:rPr>
          <w:rFonts w:ascii="Times New Roman" w:hAnsi="Times New Roman"/>
          <w:b w:val="0"/>
          <w:i w:val="0"/>
          <w:sz w:val="22"/>
        </w:rPr>
        <w:t>La concordancia entre el modelo y un lector humano no se midió sobre lo que el modelo admitió; sobre 350 excluidos, el lector del recribado (sección 2.5) coincidió con el modelo en 344 en la primera pasada y en los 350 tras contrastar los criterios. Contra el riesgo de falso negativo la revisión opone la auditoría de control positivo de la sección 2.5: se comprobó tras cada etapa de cribado que ninguno de los 40 estudios del conjunto de control comprobables por PMID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procede de los cuadernos que entregaron los dos revisores, que el canal generó en blanco. El modelo intervino alrededor de ella: escribió esos cuadernos, unió en uno las dos pasadas que entregó el segundo revisor, comparó las dos extracciones, redactó las reglas de desenlace —que, según declara D.V., decidieron los dos autores, aunque el registro del 12 de agosto de 2026 las dejó como propuesta sin ratificar— y tradujo a categorías las correcciones que firmaron tras releer los artículos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 está en el registro de esa primera pasada, en el repositorio, y no en S3.</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42 estudios conocidos a priori como elegibles, procedentes del metaanálisis exploratorio de julio de 2026, que se hizo con asistencia de modelos de lenguaje; la comprobación automática alcanzaba a los 40 que tenían PMID. Las ecuaciones de búsqueda se diseñaron para recuperar ese conjunto, de modo que la auditoría acota lo que pierde la selección y no la sensibilidad de la búsqueda.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de cribado (40 de 40 comprobables) hasta la enmienda de idioma, que excluyó en la etapa de resumen a Ronit 2024 (sección 2.9). No sigue a los controles después del cribado: de los 42, 35 siguen en el corpus final; además de Ronit 2024, salieron Leitner 2021, por no haberse podido leer su texto, y cinco por no disponer del artículo completo.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la recribó en Rayyan un solo revisor (D.V.), en modo ciego respecto del veredicto original y, en la primera pasada, sin los criterios a la vista. Los 6 registros que marcó como incluibles resultaron, contrastados por D.V. con los criterios de la sección 2.2, trabajo de laboratorio, de modelización o revisión sin datos primarios, y los reclasificó.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tuvo 21 variables de datos, las categóricas con vocabulario controlado; no consta un piloteo documentado. La extracción se hizo </w:t>
      </w:r>
      <w:r>
        <w:rPr>
          <w:rFonts w:ascii="Times New Roman" w:hAnsi="Times New Roman"/>
          <w:b w:val="0"/>
          <w:i/>
          <w:sz w:val="22"/>
        </w:rPr>
        <w:t>por duplicado</w:t>
      </w:r>
      <w:r>
        <w:rPr>
          <w:rFonts w:ascii="Times New Roman" w:hAnsi="Times New Roman"/>
          <w:b w:val="0"/>
          <w:i w:val="0"/>
          <w:sz w:val="22"/>
        </w:rPr>
        <w:t xml:space="preserve"> entre los dos revisores, pero su independencia no está acreditada: en la columna de texto libre que localiza cada dato, el cuaderno que el segundo revisor entregó el 26 de agosto de 2026 coincide carácter por carácter con el del primero en 107 de las 107 filas comparables, con las mismas erratas —«MATERILAES Y METODOS», 49 veces—, cuando el 23 de agosto no coincidía en ninguna.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Por lo dicho, esa concordancia no corresponde a dos lecturas independientes y debe leerse como un máximo. Hay 539 de 541 desacuerdos adjudicados. El registro de adjudicación anota un único responsable en 525 de las 541 filas (293 D.V. y 232 N.T.) y a los dos revisores en 14: las que quedaron abiertas —10 por el diseño del estudio, donde el formulario no ofrecía la opción que los revisores necesitaban, y 4 por datos que exigían releer el artículo—, firmadas por los dos el 14 de septiembre de 2026. Las 2 restantes se habían cerrado antes aplicando una regla mecánica sobre una comparación posteriormente rehecha, de modo que no llevan firma conjunta. El registro completo, resuelto a resuelto, se aporta como suplemento.</w:t>
      </w:r>
    </w:p>
    <w:p>
      <w:pPr>
        <w:jc w:val="both"/>
      </w:pPr>
      <w:r>
        <w:rPr>
          <w:rFonts w:ascii="Times New Roman" w:hAnsi="Times New Roman"/>
          <w:b w:val="0"/>
          <w:i/>
          <w:sz w:val="22"/>
        </w:rPr>
        <w:t>Relectura dirigida tras la adjudicación.</w:t>
      </w:r>
      <w:r>
        <w:rPr>
          <w:rFonts w:ascii="Times New Roman" w:hAnsi="Times New Roman"/>
          <w:b w:val="0"/>
          <w:i w:val="0"/>
          <w:sz w:val="22"/>
        </w:rP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con el valor que el modelo derivó de la conclusión firmada, el valor anterior y la cita; las que dejaban un brazo con más de un valor, y las exclusiones que la relectura puso de manifiesto, las decidieron y firmaron los dos autores el 1 y el 3 de octubre de 2026.</w:t>
      </w:r>
    </w:p>
    <w:p>
      <w:pPr>
        <w:jc w:val="both"/>
      </w:pPr>
      <w:r>
        <w:rPr>
          <w:rFonts w:ascii="Times New Roman" w:hAnsi="Times New Roman"/>
          <w:b w:val="0"/>
          <w:i w:val="0"/>
          <w:sz w:val="22"/>
        </w:rP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w:t>
      </w:r>
      <w:r>
        <w:rPr>
          <w:rFonts w:ascii="Times New Roman" w:hAnsi="Times New Roman"/>
          <w:b w:val="0"/>
          <w:i w:val="0"/>
          <w:sz w:val="22"/>
        </w:rPr>
        <w:t>: los 9 que el diseño adjudicado sobre el artículo identifica como comparativos, todos con texto completo, como el resto del corpus desde el criterio de la sección 2.9. Los ensayos aleatorizados con RoB 2 (10) y los no aleatorizados y las cohortes con ROBINS-I (11).</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Hubo dos cuadernos, uno a nombre de cada autor, pero su independencia no está acreditada.</w:t>
      </w:r>
      <w:r>
        <w:rPr>
          <w:rFonts w:ascii="Times New Roman" w:hAnsi="Times New Roman"/>
          <w:b w:val="0"/>
          <w:i w:val="0"/>
          <w:sz w:val="22"/>
        </w:rPr>
        <w:t xml:space="preserve"> La noche del 4 al 5 de septiembre de 2026 los dos traían todos los juicios idénticos y, vueltos a guardar con dos segundos de diferencia, seguían compartiendo 7 418 caracteres idénticos en las notas de apoyo; el registro de ese día concluye que un cuaderno salió del otro. La evaluación se declaró entonces por consenso: el canal generó un cuaderno con los juicios coincidentes precargados y los discrepantes en blanco, y los dos autores lo firmaron el 9 de septiembre de 2026. La concordancia entre los dos cuadernos se reporta en la sección 3.7, pero no mide dos evaluaciones independientes. Un estudio, incorporado a la evaluación después de los demás, tiene una sola lectura y se declara como tal.</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3.6 muestra que solo 2 de los 73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68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42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solo entran los estudios con el artículo completo.</w:t>
      </w:r>
      <w:r>
        <w:rPr>
          <w:rFonts w:ascii="Times New Roman" w:hAnsi="Times New Roman"/>
          <w:b w:val="0"/>
          <w:i w:val="0"/>
          <w:sz w:val="22"/>
        </w:rP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4 estudios</w:t>
      </w:r>
      <w:r>
        <w:rPr>
          <w:rFonts w:ascii="Times New Roman" w:hAnsi="Times New Roman"/>
          <w:b w:val="0"/>
          <w:i w:val="0"/>
          <w:sz w:val="22"/>
        </w:rPr>
        <w:t xml:space="preserve"> con el código NOREC y </w:t>
      </w:r>
      <w:r>
        <w:rPr>
          <w:rFonts w:ascii="Times New Roman" w:hAnsi="Times New Roman"/>
          <w:b w:val="0"/>
          <w:i/>
          <w:sz w:val="22"/>
        </w:rPr>
        <w:t>63</w:t>
      </w:r>
      <w:r>
        <w:rPr>
          <w:rFonts w:ascii="Times New Roman" w:hAnsi="Times New Roman"/>
          <w:b w:val="0"/>
          <w:i w:val="0"/>
          <w:sz w:val="22"/>
        </w:rP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rFonts w:ascii="Times New Roman" w:hAnsi="Times New Roman"/>
          <w:b w:val="0"/>
          <w:i/>
          <w:sz w:val="22"/>
        </w:rPr>
        <w:t>todo estudio sin el PDF del artículo completo con acceso</w:t>
      </w:r>
      <w:r>
        <w:rPr>
          <w:rFonts w:ascii="Times New Roman" w:hAnsi="Times New Roman"/>
          <w:b w:val="0"/>
          <w:i w:val="0"/>
          <w:sz w:val="22"/>
        </w:rPr>
        <w:t xml:space="preserve"> (código NOPDF): 21 estudios cuyo artículo no se obtuvo —3 de ellos solo existen como resumen de congreso— y 42 que solo existen como ficha de registro de ensayo. El corpus pasó de 128 a 65 estudios.</w:t>
      </w:r>
    </w:p>
    <w:p>
      <w:pPr>
        <w:jc w:val="both"/>
      </w:pPr>
      <w:r>
        <w:rPr>
          <w:rFonts w:ascii="Times New Roman" w:hAnsi="Times New Roman"/>
          <w:b w:val="0"/>
          <w:i w:val="0"/>
          <w:sz w:val="22"/>
        </w:rPr>
        <w:t xml:space="preserve">Hasta esa fecha esta misma sección desaconsejaba generalizar NOREC, y el motivo sigue en pie: con el criterio ampliado, la recuperación de texto completo del corpus es del 100 % </w:t>
      </w:r>
      <w:r>
        <w:rPr>
          <w:rFonts w:ascii="Times New Roman" w:hAnsi="Times New Roman"/>
          <w:b w:val="0"/>
          <w:i/>
          <w:sz w:val="22"/>
        </w:rPr>
        <w:t>por construcción</w:t>
      </w:r>
      <w:r>
        <w:rPr>
          <w:rFonts w:ascii="Times New Roman" w:hAnsi="Times New Roman"/>
          <w:b w:val="0"/>
          <w:i w:val="0"/>
          <w:sz w:val="22"/>
        </w:rPr>
        <w:t xml:space="preserve">, y el sesgo de recuperación que la sección 3.2 medía dentro del corpus deja de poder medirse ahí. Por eso se mide como </w:t>
      </w:r>
      <w:r>
        <w:rPr>
          <w:rFonts w:ascii="Times New Roman" w:hAnsi="Times New Roman"/>
          <w:b w:val="0"/>
          <w:i/>
          <w:sz w:val="22"/>
        </w:rPr>
        <w:t>efecto del criterio</w:t>
      </w:r>
      <w:r>
        <w:rPr>
          <w:rFonts w:ascii="Times New Roman" w:hAnsi="Times New Roman"/>
          <w:b w:val="0"/>
          <w:i w:val="0"/>
          <w:sz w:val="22"/>
        </w:rPr>
        <w:t xml:space="preserve"> (Tabla 3). Contando las dos fechas, el criterio deja fuera 67 estudios, y no son una muestra aleatoria: se lleva </w:t>
      </w:r>
      <w:r>
        <w:rPr>
          <w:rFonts w:ascii="Times New Roman" w:hAnsi="Times New Roman"/>
          <w:b w:val="0"/>
          <w:i/>
          <w:sz w:val="22"/>
        </w:rPr>
        <w:t>7 de los 9 diseños comparativos (77,8 %)</w:t>
      </w:r>
      <w:r>
        <w:rPr>
          <w:rFonts w:ascii="Times New Roman" w:hAnsi="Times New Roman"/>
          <w:b w:val="0"/>
          <w:i w:val="0"/>
          <w:sz w:val="22"/>
        </w:rPr>
        <w:t xml:space="preserve"> y 5 de los 7 ensayos aleatorizados. Los autores lo adoptaron conociendo ese efecto, y se declara aquí, con su fecha, en lugar de presentarse como si hubiera regido desde el principio.</w:t>
      </w:r>
    </w:p>
    <w:p>
      <w:pPr>
        <w:jc w:val="both"/>
      </w:pPr>
      <w:r>
        <w:rPr>
          <w:rFonts w:ascii="Times New Roman" w:hAnsi="Times New Roman"/>
          <w:b w:val="0"/>
          <w:i/>
          <w:sz w:val="22"/>
        </w:rPr>
        <w:t>Una tercera enmienda, menor: NOORG.</w:t>
      </w:r>
      <w:r>
        <w:rPr>
          <w:rFonts w:ascii="Times New Roman" w:hAnsi="Times New Roman"/>
          <w:b w:val="0"/>
          <w:i w:val="0"/>
          <w:sz w:val="22"/>
        </w:rPr>
        <w:t xml:space="preserve"> El 14 de septiembre de 2026 los dos autores firmaron un código nuevo para las fichas de registro que no declaran organismo alguno, de modo que el criterio de población no puede verificarse ni a favor ni en contra; excluyó 7 estudios (sección 3.1.1). Como NOREC, se refiere a lo que puede verificarse y no a lo que el estudio dice. Los códigos PRO e INT, añadidos el 1 de septiembre de 2026, no cambian los criterios —la sección 2.2 ya exigía pacientes tratados con bacteriófagos— y solo dan nombre a motivos que el vocabulario original no tenía.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De ellos, </w:t>
      </w:r>
      <w:r>
        <w:rPr>
          <w:rFonts w:ascii="Times New Roman" w:hAnsi="Times New Roman"/>
          <w:b w:val="0"/>
          <w:i/>
          <w:sz w:val="22"/>
        </w:rPr>
        <w:t>118 salieron del corpus</w:t>
      </w:r>
      <w:r>
        <w:rPr>
          <w:rFonts w:ascii="Times New Roman" w:hAnsi="Times New Roman"/>
          <w:b w:val="0"/>
          <w:i w:val="0"/>
          <w:sz w:val="22"/>
        </w:rPr>
        <w:t xml:space="preserve">: 63 por no disponer del PDF del artículo completo (sección 2.9) y 55 por los criterios de elegibilidad: 44 por incumplirlos, comprobado sobre el artículo o sobre la ficha del registro, y 11 porque no pudieron verificarse; el apartado siguiente los detalla. El cuerpo de evidencia queda en </w:t>
      </w:r>
      <w:r>
        <w:rPr>
          <w:rFonts w:ascii="Times New Roman" w:hAnsi="Times New Roman"/>
          <w:b w:val="0"/>
          <w:i/>
          <w:sz w:val="22"/>
        </w:rPr>
        <w:t>65 estudios</w:t>
      </w:r>
      <w:r>
        <w:rPr>
          <w:rFonts w:ascii="Times New Roman" w:hAnsi="Times New Roman"/>
          <w:b w:val="0"/>
          <w:i w:val="0"/>
          <w:sz w:val="22"/>
        </w:rP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spacing w:before="200" w:after="100"/>
      </w:pPr>
      <w:r>
        <w:rPr>
          <w:rFonts w:ascii="Times New Roman" w:hAnsi="Times New Roman"/>
          <w:b/>
          <w:i w:val="0"/>
          <w:sz w:val="22"/>
        </w:rPr>
        <w:t>3.1.1 Los 118 estudios que el cribado admitió y que salieron después</w:t>
      </w:r>
    </w:p>
    <w:p>
      <w:pPr>
        <w:jc w:val="both"/>
      </w:pPr>
      <w:r>
        <w:rPr>
          <w:rFonts w:ascii="Times New Roman" w:hAnsi="Times New Roman"/>
          <w:b w:val="0"/>
          <w:i/>
          <w:sz w:val="22"/>
        </w:rPr>
        <w:t>Sesenta y tres salieron por no disponer del artículo completo</w:t>
      </w:r>
      <w:r>
        <w:rPr>
          <w:rFonts w:ascii="Times New Roman" w:hAnsi="Times New Roman"/>
          <w:b w:val="0"/>
          <w:i w:val="0"/>
          <w:sz w:val="22"/>
        </w:rP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los criterios: 44 por incumplirlos y 11 porque no pudieron verificarse (NOREC y NOORG).</w:t>
      </w:r>
    </w:p>
    <w:p>
      <w:pPr>
        <w:jc w:val="both"/>
      </w:pPr>
      <w:r>
        <w:rPr>
          <w:rFonts w:ascii="Times New Roman" w:hAnsi="Times New Roman"/>
          <w:b w:val="0"/>
          <w:i/>
          <w:sz w:val="22"/>
        </w:rPr>
        <w:t>Treinta y ocho salieron sobre su publicación o por no poder leerla.</w:t>
      </w:r>
      <w:r>
        <w:rPr>
          <w:rFonts w:ascii="Times New Roman" w:hAnsi="Times New Roman"/>
          <w:b w:val="0"/>
          <w:i w:val="0"/>
          <w:sz w:val="22"/>
        </w:rPr>
        <w:t xml:space="preserve"> Se excluyeron por ocho motivos, y ninguno es una discrepancia de criterio: en siete, el estudio no cumple lo que la sección 2.2 ya exigía; los NOREC salieron porque no pudo verificarse. </w:t>
      </w:r>
      <w:r>
        <w:rPr>
          <w:rFonts w:ascii="Times New Roman" w:hAnsi="Times New Roman"/>
          <w:b w:val="0"/>
          <w:i/>
          <w:sz w:val="22"/>
        </w:rPr>
        <w:t>Treinta</w:t>
      </w:r>
      <w:r>
        <w:rPr>
          <w:rFonts w:ascii="Times New Roman" w:hAnsi="Times New Roman"/>
          <w:b w:val="0"/>
          <w:i w:val="0"/>
          <w:sz w:val="22"/>
        </w:rPr>
        <w:t xml:space="preserve"> salieron al juzgar su artículo, leyéndolo en todos los casos salvo un editorial, juzgado por su indexación. </w:t>
      </w:r>
      <w:r>
        <w:rPr>
          <w:rFonts w:ascii="Times New Roman" w:hAnsi="Times New Roman"/>
          <w:b w:val="0"/>
          <w:i/>
          <w:sz w:val="22"/>
        </w:rPr>
        <w:t>Dieciséis</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rFonts w:ascii="Times New Roman" w:hAnsi="Times New Roman"/>
          <w:b w:val="0"/>
          <w:i/>
          <w:sz w:val="22"/>
        </w:rPr>
        <w:t>Cinco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 su exclusión la firmó solo D.V.</w:t>
      </w:r>
    </w:p>
    <w:p>
      <w:pPr>
        <w:jc w:val="both"/>
      </w:pPr>
      <w:r>
        <w:rPr>
          <w:rFonts w:ascii="Times New Roman" w:hAnsi="Times New Roman"/>
          <w:b w:val="0"/>
          <w:i/>
          <w:sz w:val="22"/>
        </w:rPr>
        <w:t>Cuatro más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eran </w:t>
      </w:r>
      <w:r>
        <w:rPr>
          <w:rFonts w:ascii="Times New Roman" w:hAnsi="Times New Roman"/>
          <w:b w:val="0"/>
          <w:i/>
          <w:sz w:val="22"/>
        </w:rPr>
        <w:t>29 de los 95 estudios extraíbles de entonces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sz w:val="22"/>
        </w:rPr>
        <w:t>Cuatro</w:t>
      </w:r>
      <w:r>
        <w:rPr>
          <w:rFonts w:ascii="Times New Roman" w:hAnsi="Times New Roman"/>
          <w:b w:val="0"/>
          <w:i w:val="0"/>
          <w:sz w:val="22"/>
        </w:rPr>
        <w:t xml:space="preserve"> salieron, por último, por </w:t>
      </w:r>
      <w:r>
        <w:rPr>
          <w:rFonts w:ascii="Times New Roman" w:hAnsi="Times New Roman"/>
          <w:b w:val="0"/>
          <w:i/>
          <w:sz w:val="22"/>
        </w:rPr>
        <w:t>NOREC</w:t>
      </w:r>
      <w:r>
        <w:rPr>
          <w:rFonts w:ascii="Times New Roman" w:hAnsi="Times New Roman"/>
          <w:b w:val="0"/>
          <w:i w:val="0"/>
          <w:sz w:val="22"/>
        </w:rPr>
        <w:t xml:space="preserve"> (sección 2.9): el texto completo no pudo leerse y, sin él, un criterio no pudo verificarse contra el artículo. Uno es el ensayo aleatorizado que describe la sección 2.9, cuya exclusión firmó solo D.V.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rFonts w:ascii="Times New Roman" w:hAnsi="Times New Roman"/>
          <w:b w:val="0"/>
          <w:i/>
          <w:sz w:val="22"/>
        </w:rPr>
        <w:t>30,1 %</w:t>
      </w:r>
      <w:r>
        <w:rPr>
          <w:rFonts w:ascii="Times New Roman" w:hAnsi="Times New Roman"/>
          <w:b w:val="0"/>
          <w:i w:val="0"/>
          <w:sz w:val="22"/>
        </w:rPr>
        <w:t xml:space="preserve"> de los 93 estudios cuyo texto completo se pudo leer. Es un suelo, no un total: los 63 que salieron por no disponer del artículo nunca se comprobaron contra él.</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38 anteriores tienen publicación; estos no tienen ninguna.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el modelo descargó la ficha completa de cada una de ClinicalTrials.gov y del registro europeo CTIS, las leyó una por una y propuso, con su frase, un veredicto para cada una, que firmaron los dos autores.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superaron el criterio de población; como ninguna tiene artículo publicado, salieron después por el criterio del texto completo (sección 2.9).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Los 65 estudios del corpus tienen todos su artículo completo. Antes del criterio del texto completo, </w:t>
      </w:r>
      <w:r>
        <w:rPr>
          <w:rFonts w:ascii="Times New Roman" w:hAnsi="Times New Roman"/>
          <w:b w:val="0"/>
          <w:i/>
          <w:sz w:val="22"/>
        </w:rPr>
        <w:t>42 de los 128 estudios eran únicamente fichas de registro de ensayo</w:t>
      </w:r>
      <w:r>
        <w:rPr>
          <w:rFonts w:ascii="Times New Roman" w:hAnsi="Times New Roman"/>
          <w:b w:val="0"/>
          <w:i w:val="0"/>
          <w:sz w:val="22"/>
        </w:rPr>
        <w:t>, sin publicación asociada localizable. Esa cifra, que el criterio saca del corpus pero no del campo, basta por sí sola para describir una literatura en la que casi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Los 65 estudios del corpus tienen su texto completo, obtenido por vías de acceso abierto legítimas. Desde el criterio de la sección 2.9 esa es la condición de entrada, de modo que la tasa del </w:t>
      </w:r>
      <w:r>
        <w:rPr>
          <w:rFonts w:ascii="Times New Roman" w:hAnsi="Times New Roman"/>
          <w:b w:val="0"/>
          <w:i/>
          <w:sz w:val="22"/>
        </w:rPr>
        <w:t>100,0 %</w:t>
      </w:r>
      <w:r>
        <w:rPr>
          <w:rFonts w:ascii="Times New Roman" w:hAnsi="Times New Roman"/>
          <w:b w:val="0"/>
          <w:i w:val="0"/>
          <w:sz w:val="22"/>
        </w:rPr>
        <w:t xml:space="preserve"> no mide la recuperación, sino el criterio. La recuperación se mide justo antes de él: el texto se había obtenido para </w:t>
      </w:r>
      <w:r>
        <w:rPr>
          <w:rFonts w:ascii="Times New Roman" w:hAnsi="Times New Roman"/>
          <w:b w:val="0"/>
          <w:i/>
          <w:sz w:val="22"/>
        </w:rPr>
        <w:t>65 de los 86 estudios con artículo o resumen (75,6 %)</w:t>
      </w:r>
      <w:r>
        <w:rPr>
          <w:rFonts w:ascii="Times New Roman" w:hAnsi="Times New Roman"/>
          <w:b w:val="0"/>
          <w:i w:val="0"/>
          <w:sz w:val="22"/>
        </w:rP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pPr>
        <w:jc w:val="both"/>
      </w:pPr>
      <w:r>
        <w:rPr>
          <w:rFonts w:ascii="Times New Roman" w:hAnsi="Times New Roman"/>
          <w:b w:val="0"/>
          <w:i w:val="0"/>
          <w:sz w:val="22"/>
        </w:rPr>
        <w:t xml:space="preserve">La fracción no obtenida </w:t>
      </w:r>
      <w:r>
        <w:rPr>
          <w:rFonts w:ascii="Times New Roman" w:hAnsi="Times New Roman"/>
          <w:b w:val="0"/>
          <w:i/>
          <w:sz w:val="22"/>
        </w:rPr>
        <w:t>no era una muestra aleatoria del conjunto</w:t>
      </w:r>
      <w:r>
        <w:rPr>
          <w:rFonts w:ascii="Times New Roman" w:hAnsi="Times New Roman"/>
          <w:b w:val="0"/>
          <w:i w:val="0"/>
          <w:sz w:val="22"/>
        </w:rPr>
        <w:t xml:space="preserve"> (Tabla 3), y el criterio que la excluye tampoco lo es. Contando los 4 estudios de NOREC, los estudios que el criterio deja fuera contienen 7 de los 9 diseños comparativos, el </w:t>
      </w:r>
      <w:r>
        <w:rPr>
          <w:rFonts w:ascii="Times New Roman" w:hAnsi="Times New Roman"/>
          <w:b w:val="0"/>
          <w:i/>
          <w:sz w:val="22"/>
        </w:rPr>
        <w:t>77,8 %</w:t>
      </w:r>
      <w:r>
        <w:rPr>
          <w:rFonts w:ascii="Times New Roman" w:hAnsi="Times New Roman"/>
          <w:b w:val="0"/>
          <w:i w:val="0"/>
          <w:sz w:val="22"/>
        </w:rPr>
        <w:t>, aunque declaran menos pacientes en total. De los 7 ensayos aleatorizados identificados con artículo o resumen, el corpus conserva 2 —PhagoBurn (17) y BX004-A (18)—, y los otros 5 salieron por el criterio, entre ellos el de TP-102 (19).</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65 estudios del corpus se publicaron entre </w:t>
      </w:r>
      <w:r>
        <w:rPr>
          <w:rFonts w:ascii="Times New Roman" w:hAnsi="Times New Roman"/>
          <w:b w:val="0"/>
          <w:i/>
          <w:sz w:val="22"/>
        </w:rPr>
        <w:t>2017 y 2026</w:t>
      </w:r>
      <w:r>
        <w:rPr>
          <w:rFonts w:ascii="Times New Roman" w:hAnsi="Times New Roman"/>
          <w:b w:val="0"/>
          <w:i w:val="0"/>
          <w:sz w:val="22"/>
        </w:rPr>
        <w:t xml:space="preserve">, y el </w:t>
      </w:r>
      <w:r>
        <w:rPr>
          <w:rFonts w:ascii="Times New Roman" w:hAnsi="Times New Roman"/>
          <w:b w:val="0"/>
          <w:i/>
          <w:sz w:val="22"/>
        </w:rPr>
        <w:t>86,2 %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34 reportes de caso único (52,3 %)</w:t>
      </w:r>
      <w:r>
        <w:rPr>
          <w:rFonts w:ascii="Times New Roman" w:hAnsi="Times New Roman"/>
          <w:b w:val="0"/>
          <w:i w:val="0"/>
          <w:sz w:val="22"/>
        </w:rPr>
        <w:t xml:space="preserve">, 16 series de casos, 7 cohortes prospectivas, 2 ensayos aleatorizados, 0 ensayos no aleatorizados y 3 cohortes retrospectivas. Otros 3 no declaran su diseño de forma reconocible en el resumen. Los comparativos suman </w:t>
      </w:r>
      <w:r>
        <w:rPr>
          <w:rFonts w:ascii="Times New Roman" w:hAnsi="Times New Roman"/>
          <w:b w:val="0"/>
          <w:i/>
          <w:sz w:val="22"/>
        </w:rPr>
        <w:t>2 estudios, el 3,1 %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70,8 %</w:t>
      </w:r>
      <w:r>
        <w:rPr>
          <w:rFonts w:ascii="Times New Roman" w:hAnsi="Times New Roman"/>
          <w:b w:val="0"/>
          <w:i w:val="0"/>
          <w:sz w:val="22"/>
        </w:rP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49,2 %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26,2 %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96,9 %</w:t>
      </w:r>
      <w:r>
        <w:rPr>
          <w:rFonts w:ascii="Times New Roman" w:hAnsi="Times New Roman"/>
          <w:b w:val="0"/>
          <w:i w:val="0"/>
          <w:sz w:val="22"/>
        </w:rPr>
        <w:t>.</w:t>
      </w:r>
    </w:p>
    <w:p>
      <w:pPr>
        <w:jc w:val="both"/>
      </w:pPr>
      <w:r>
        <w:rPr>
          <w:rFonts w:ascii="Times New Roman" w:hAnsi="Times New Roman"/>
          <w:b w:val="0"/>
          <w:i w:val="0"/>
          <w:sz w:val="22"/>
        </w:rP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rFonts w:ascii="Times New Roman" w:hAnsi="Times New Roman"/>
          <w:b w:val="0"/>
          <w:i/>
          <w:sz w:val="22"/>
        </w:rPr>
        <w:t>En 8 de los 73 brazos la clase queda por debajo del umbral de multirresistencia</w:t>
      </w:r>
      <w:r>
        <w:rPr>
          <w:rFonts w:ascii="Times New Roman" w:hAnsi="Times New Roman"/>
          <w:b w:val="0"/>
          <w:i w:val="0"/>
          <w:sz w:val="22"/>
        </w:rP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pPr>
        <w:jc w:val="both"/>
      </w:pPr>
      <w:r>
        <w:rPr>
          <w:rFonts w:ascii="Times New Roman" w:hAnsi="Times New Roman"/>
          <w:b w:val="0"/>
          <w:i/>
          <w:sz w:val="22"/>
        </w:rPr>
        <w:t>La clase se comprobó después contra el artículo.</w:t>
      </w:r>
      <w:r>
        <w:rPr>
          <w:rFonts w:ascii="Times New Roman" w:hAnsi="Times New Roman"/>
          <w:b w:val="0"/>
          <w:i w:val="0"/>
          <w:sz w:val="22"/>
        </w:rP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rFonts w:ascii="Times New Roman" w:hAnsi="Times New Roman"/>
          <w:b w:val="0"/>
          <w:i/>
          <w:sz w:val="22"/>
        </w:rPr>
        <w:t>P. aeruginosa</w:t>
      </w:r>
      <w:r>
        <w:rPr>
          <w:rFonts w:ascii="Times New Roman" w:hAnsi="Times New Roman"/>
          <w:b w:val="0"/>
          <w:i w:val="0"/>
          <w:sz w:val="22"/>
        </w:rPr>
        <w:t xml:space="preserve"> tratado con fagos. Los dos autores excluyeron 5 con el código ORG (EST-009, EST-055, EST-132, EST-181 y EST-208; sección 3.1.1) y mantuvieron 4, que se declaran aquí con lo que el artículo dice: en EST-152 y EST-170 la única mención de </w:t>
      </w:r>
      <w:r>
        <w:rPr>
          <w:rFonts w:ascii="Times New Roman" w:hAnsi="Times New Roman"/>
          <w:b w:val="0"/>
          <w:i/>
          <w:sz w:val="22"/>
        </w:rPr>
        <w:t>P. aeruginosa</w:t>
      </w:r>
      <w:r>
        <w:rPr>
          <w:rFonts w:ascii="Times New Roman" w:hAnsi="Times New Roman"/>
          <w:b w:val="0"/>
          <w:i w:val="0"/>
          <w:sz w:val="22"/>
        </w:rPr>
        <w:t xml:space="preserve"> es la descripción del paciente de otro estudio del corpus (EST-049 y EST-106), y en EST-129 y EST-135 el paciente tuvo </w:t>
      </w:r>
      <w:r>
        <w:rPr>
          <w:rFonts w:ascii="Times New Roman" w:hAnsi="Times New Roman"/>
          <w:b w:val="0"/>
          <w:i/>
          <w:sz w:val="22"/>
        </w:rPr>
        <w:t>P. aeruginosa</w:t>
      </w:r>
      <w:r>
        <w:rPr>
          <w:rFonts w:ascii="Times New Roman" w:hAnsi="Times New Roman"/>
          <w:b w:val="0"/>
          <w:i w:val="0"/>
          <w:sz w:val="22"/>
        </w:rPr>
        <w:t xml:space="preserve">, pero el fago no se dirigió contra ella. Lo mismo ocurre en EST-051, que también se mantiene. En EST-096, que se mantiene por la misma decisión, la paciente 10 sí recibió un fago contra </w:t>
      </w:r>
      <w:r>
        <w:rPr>
          <w:rFonts w:ascii="Times New Roman" w:hAnsi="Times New Roman"/>
          <w:b w:val="0"/>
          <w:i/>
          <w:sz w:val="22"/>
        </w:rPr>
        <w:t>P. aeruginosa</w:t>
      </w:r>
      <w:r>
        <w:rPr>
          <w:rFonts w:ascii="Times New Roman" w:hAnsi="Times New Roman"/>
          <w:b w:val="0"/>
          <w:i w:val="0"/>
          <w:sz w:val="22"/>
        </w:rPr>
        <w:t xml:space="preserve"> (Ps1N/734), pero las dos tablas del artículo se contradicen sobre si la bacteria seguía presente al iniciar el tratamiento.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rFonts w:ascii="Times New Roman" w:hAnsi="Times New Roman"/>
          <w:b w:val="0"/>
          <w:i/>
          <w:sz w:val="22"/>
        </w:rPr>
        <w:t>P. aeruginosa</w:t>
      </w:r>
      <w:r>
        <w:rPr>
          <w:rFonts w:ascii="Times New Roman" w:hAnsi="Times New Roman"/>
          <w:b w:val="0"/>
          <w:i w:val="0"/>
          <w:sz w:val="22"/>
        </w:rP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el valor que el modelo derivó del texto que firmaron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73 brazos del corpus vigente.</w:t>
      </w:r>
    </w:p>
    <w:p>
      <w:pPr>
        <w:jc w:val="both"/>
      </w:pPr>
      <w:r>
        <w:rPr>
          <w:rFonts w:ascii="Times New Roman" w:hAnsi="Times New Roman"/>
          <w:b w:val="0"/>
          <w:i w:val="0"/>
          <w:sz w:val="22"/>
        </w:rP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rFonts w:ascii="Times New Roman" w:hAnsi="Times New Roman"/>
          <w:b w:val="0"/>
          <w:i/>
          <w:sz w:val="22"/>
        </w:rPr>
        <w:t>hoy ningún brazo declara una proporción imposible</w:t>
      </w:r>
      <w:r>
        <w:rPr>
          <w:rFonts w:ascii="Times New Roman" w:hAnsi="Times New Roman"/>
          <w:b w:val="0"/>
          <w:i w:val="0"/>
          <w:sz w:val="22"/>
        </w:rP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pPr>
        <w:jc w:val="both"/>
      </w:pPr>
      <w:r>
        <w:rPr>
          <w:rFonts w:ascii="Times New Roman" w:hAnsi="Times New Roman"/>
          <w:b w:val="0"/>
          <w:i w:val="0"/>
          <w:sz w:val="22"/>
        </w:rPr>
        <w:t xml:space="preserve">Ese 87,7 % es, sin embargo, engañoso si se lee como disponibilidad para agregar. </w:t>
      </w:r>
      <w:r>
        <w:rPr>
          <w:rFonts w:ascii="Times New Roman" w:hAnsi="Times New Roman"/>
          <w:b w:val="0"/>
          <w:i/>
          <w:sz w:val="22"/>
        </w:rPr>
        <w:t>En 43 de los 73 brazos (58,9 %) no consta una definición operativa de éxito clínico</w:t>
      </w:r>
      <w:r>
        <w:rPr>
          <w:rFonts w:ascii="Times New Roman" w:hAnsi="Times New Roman"/>
          <w:b w:val="0"/>
          <w:i w:val="0"/>
          <w:sz w:val="22"/>
        </w:rP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pPr>
        <w:jc w:val="both"/>
      </w:pPr>
      <w:r>
        <w:rPr>
          <w:rFonts w:ascii="Times New Roman" w:hAnsi="Times New Roman"/>
          <w:b w:val="0"/>
          <w:i w:val="0"/>
          <w:sz w:val="22"/>
        </w:rPr>
        <w:t xml:space="preserve">El diseño consta en los 73 brazos: </w:t>
      </w:r>
      <w:r>
        <w:rPr>
          <w:rFonts w:ascii="Times New Roman" w:hAnsi="Times New Roman"/>
          <w:b w:val="0"/>
          <w:i/>
          <w:sz w:val="22"/>
        </w:rPr>
        <w:t>4 brazos son ensayos</w:t>
      </w:r>
      <w:r>
        <w:rPr>
          <w:rFonts w:ascii="Times New Roman" w:hAnsi="Times New Roman"/>
          <w:b w:val="0"/>
          <w:i w:val="0"/>
          <w:sz w:val="22"/>
        </w:rPr>
        <w:t xml:space="preserve"> (aleatorizados o no) y </w:t>
      </w:r>
      <w:r>
        <w:rPr>
          <w:rFonts w:ascii="Times New Roman" w:hAnsi="Times New Roman"/>
          <w:b w:val="0"/>
          <w:i/>
          <w:sz w:val="22"/>
        </w:rPr>
        <w:t>8 son cohortes</w:t>
      </w:r>
      <w:r>
        <w:rPr>
          <w:rFonts w:ascii="Times New Roman" w:hAnsi="Times New Roman"/>
          <w:b w:val="0"/>
          <w:i w:val="0"/>
          <w:sz w:val="22"/>
        </w:rP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73</w:t>
      </w:r>
      <w:r>
        <w:rPr>
          <w:rFonts w:ascii="Times New Roman" w:hAnsi="Times New Roman"/>
          <w:b w:val="0"/>
          <w:i w:val="0"/>
          <w:sz w:val="22"/>
        </w:rPr>
        <w:t>. Los dos siguientes son los criterios de elegibilidad que esta misma revisión declara en la sección 2.2, y solo uno de esos 2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73 brazos de esta literatura, </w:t>
      </w:r>
      <w:r>
        <w:rPr>
          <w:rFonts w:ascii="Times New Roman" w:hAnsi="Times New Roman"/>
          <w:b w:val="0"/>
          <w:i/>
          <w:sz w:val="22"/>
        </w:rPr>
        <w:t>ninguno reúne a la vez las condiciones aritméticas, los criterios de elegibilidad y la métrica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 los artículos del corpus,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Los 2 ensayos aleatorizados del corpus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efecto del criterio del texto completo documentado en la sección 3.2: 7 de los 9 diseños comparativos que el corpus habría podido aportar a una síntesis quedaron fuera de él.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cuadernos de los dos revisores, en 8 de los 9 estudios evaluables, coinciden en 49 de los 60 juicios comparables (81,7 %; kappa de Cohen 0,74), una concordancia que no mide dos evaluaciones independientes (sección 2.7). Los 11 desacuerdos se resolvieron por consenso, los 11 hacia el juicio del cuaderno de D.V., ninguno hacia el del otro revisor. El estudio restante se evaluó en un cuaderno aparte y tiene una sola lectura.</w:t>
      </w:r>
    </w:p>
    <w:p>
      <w:pPr>
        <w:jc w:val="both"/>
      </w:pPr>
      <w:r>
        <w:rPr>
          <w:rFonts w:ascii="Times New Roman" w:hAnsi="Times New Roman"/>
          <w:b w:val="0"/>
          <w:i w:val="0"/>
          <w:sz w:val="22"/>
        </w:rP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rFonts w:ascii="Times New Roman" w:hAnsi="Times New Roman"/>
          <w:b w:val="0"/>
          <w:i/>
          <w:sz w:val="22"/>
        </w:rPr>
        <w:t>P. aeruginosa</w:t>
      </w:r>
      <w:r>
        <w:rPr>
          <w:rFonts w:ascii="Times New Roman" w:hAnsi="Times New Roman"/>
          <w:b w:val="0"/>
          <w:i w:val="0"/>
          <w:sz w:val="22"/>
        </w:rPr>
        <w:t xml:space="preserve"> (EST-008 y EST-021; el de EST-008, parcial).</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se auditó contra un conjunto de controles positivos fijado antes de empezar: el cribado no perdió ninguno de los 40 comprobables por PMID hasta la enmienda de idioma, que se llevó uno y se declara (sección 2.9).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ocho y todas materiales. </w:t>
      </w:r>
      <w:r>
        <w:rPr>
          <w:rFonts w:ascii="Times New Roman" w:hAnsi="Times New Roman"/>
          <w:b w:val="0"/>
          <w:i/>
          <w:sz w:val="22"/>
        </w:rPr>
        <w:t>Primera:</w:t>
      </w:r>
      <w:r>
        <w:rPr>
          <w:rFonts w:ascii="Times New Roman" w:hAnsi="Times New Roman"/>
          <w:b w:val="0"/>
          <w:i w:val="0"/>
          <w:sz w:val="22"/>
        </w:rPr>
        <w:t xml:space="preserve"> las decisiones del cribado de títulos y resúmenes las emitió un modelo de lenguaje como revisor único, sin duplicación (sección 2.4), con un vocabulario de motivos que no se fijó antes de empezar; lo que excluyó no lo releyó nadie salvo una muestra de 350 registros, recribada por un solo revisor, y la concordancia entre el modelo y un lector humano no se midió sobre lo que el modelo admitió. La auditoría de control positivo y el recribado acotan los falsos negativos sin descartarlos: sobre el marco de 13 661 excluidos, el recribado admite hasta 143 registros perdidos. </w:t>
      </w:r>
      <w:r>
        <w:rPr>
          <w:rFonts w:ascii="Times New Roman" w:hAnsi="Times New Roman"/>
          <w:b w:val="0"/>
          <w:i/>
          <w:sz w:val="22"/>
        </w:rPr>
        <w:t>Segunda:</w:t>
      </w:r>
      <w:r>
        <w:rPr>
          <w:rFonts w:ascii="Times New Roman" w:hAnsi="Times New Roman"/>
          <w:b w:val="0"/>
          <w:i w:val="0"/>
          <w:sz w:val="22"/>
        </w:rP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rFonts w:ascii="Times New Roman" w:hAnsi="Times New Roman"/>
          <w:b w:val="0"/>
          <w:i/>
          <w:sz w:val="22"/>
        </w:rPr>
        <w:t>Tercera: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Cuarta: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Quinta: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Ni la extracción ni el riesgo de sesgo tienen acreditada la independencia de sus dos lecturas: los cuadernos de extracción comparten carácter por carácter una columna de texto libre (sección 2.6), y los de riesgo de sesgo, 7 418 caracteres de notas (sección 2.7). La concordancia entre los dos de riesgo de sesgo fue del 81,7 % (49 de 60 juicios; kappa de Cohen 0,74), y los 11 desacuerdos se resolvieron todos hacia el cuaderno de D.V. </w:t>
      </w:r>
      <w:r>
        <w:rPr>
          <w:rFonts w:ascii="Times New Roman" w:hAnsi="Times New Roman"/>
          <w:b w:val="0"/>
          <w:i/>
          <w:sz w:val="22"/>
        </w:rPr>
        <w:t>Sexta:</w:t>
      </w:r>
      <w:r>
        <w:rPr>
          <w:rFonts w:ascii="Times New Roman" w:hAnsi="Times New Roman"/>
          <w:b w:val="0"/>
          <w:i w:val="0"/>
          <w:sz w:val="22"/>
        </w:rP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rFonts w:ascii="Times New Roman" w:hAnsi="Times New Roman"/>
          <w:b w:val="0"/>
          <w:i/>
          <w:sz w:val="22"/>
        </w:rPr>
        <w:t>Séptima:</w:t>
      </w:r>
      <w:r>
        <w:rPr>
          <w:rFonts w:ascii="Times New Roman" w:hAnsi="Times New Roman"/>
          <w:b w:val="0"/>
          <w:i w:val="0"/>
          <w:sz w:val="22"/>
        </w:rPr>
        <w:t xml:space="preserve"> la restricción a inglés y español se adoptó con el cribado ya terminado y eliminó 35 estudios en el cribado de resúmenes, 18 de ellos comparativos y uno del conjunto de control positivo, y 4 más al leer el texto completo; otros 3 salieron porque su idioma no pudo verificarse; empuja el corpus en la misma dirección que el sesgo de recuperación y reduce lo que esta revisión puede decir sobre la literatura de Europa del Este. </w:t>
      </w:r>
      <w:r>
        <w:rPr>
          <w:rFonts w:ascii="Times New Roman" w:hAnsi="Times New Roman"/>
          <w:b w:val="0"/>
          <w:i/>
          <w:sz w:val="22"/>
        </w:rPr>
        <w:t>Octava:</w:t>
      </w:r>
      <w:r>
        <w:rPr>
          <w:rFonts w:ascii="Times New Roman" w:hAnsi="Times New Roman"/>
          <w:b w:val="0"/>
          <w:i w:val="0"/>
          <w:sz w:val="22"/>
        </w:rPr>
        <w:t xml:space="preserve"> el corpus cuenta informes y estudios, no pacientes distintos, y contiene </w:t>
      </w:r>
      <w:r>
        <w:rPr>
          <w:rFonts w:ascii="Times New Roman" w:hAnsi="Times New Roman"/>
          <w:b w:val="0"/>
          <w:i/>
          <w:sz w:val="22"/>
        </w:rPr>
        <w:t>20 pacientes descritos en más de un estudio</w:t>
      </w:r>
      <w:r>
        <w:rPr>
          <w:rFonts w:ascii="Times New Roman" w:hAnsi="Times New Roman"/>
          <w:b w:val="0"/>
          <w:i w:val="0"/>
          <w:sz w:val="22"/>
        </w:rP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rFonts w:ascii="Times New Roman" w:hAnsi="Times New Roman"/>
          <w:b w:val="0"/>
          <w:i/>
          <w:sz w:val="22"/>
        </w:rPr>
        <w:t>7 son estudios de este corpus</w:t>
      </w:r>
      <w:r>
        <w:rPr>
          <w:rFonts w:ascii="Times New Roman" w:hAnsi="Times New Roman"/>
          <w:b w:val="0"/>
          <w:i w:val="0"/>
          <w:sz w:val="22"/>
        </w:rP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8 los encontró la lectura del modelo del 22 de septiembre de 2026 y 7 la relectura de los autores del 30 de septiembre. 19 se confirmaron, 11 se descartaron y </w:t>
      </w:r>
      <w:r>
        <w:rPr>
          <w:rFonts w:ascii="Times New Roman" w:hAnsi="Times New Roman"/>
          <w:b w:val="0"/>
          <w:i/>
          <w:sz w:val="22"/>
        </w:rPr>
        <w:t>ninguno queda sin leer</w:t>
      </w:r>
      <w:r>
        <w:rPr>
          <w:rFonts w:ascii="Times New Roman" w:hAnsi="Times New Roman"/>
          <w:b w:val="0"/>
          <w:i w:val="0"/>
          <w:sz w:val="22"/>
        </w:rPr>
        <w:t>; 28 de los 30 veredictos llevan la frase en que se apoyan y la firma de los dos autores (anexo S21); los otros 2, descartes que hizo la lectura del modelo del 22 de septiembre de 2026, no constan firmados. Como la revisión no publica ninguna estimación agrupada, la duplicación no altera ninguna cifra de efecto, pero impide leer el corpus como 65 conjuntos disjuntos de pacientes.</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(según declara D.V., ejecución de las búsquedas en cada interfaz con la guía del modelo de lenguaje, que redactó las ecuaciones; extracción de datos; riesgo de sesgo), dirección del software, la curación de datos, el análisis y la visualización, que programó y ejecutó el modelo de lenguaje, revisión de los borradores, que redactó el modelo, y administración del proyecto. </w:t>
      </w:r>
      <w:r>
        <w:rPr>
          <w:rFonts w:ascii="Times New Roman" w:hAnsi="Times New Roman"/>
          <w:b w:val="0"/>
          <w:i/>
          <w:sz w:val="22"/>
        </w:rPr>
        <w:t>N. Trelles:</w:t>
      </w:r>
      <w:r>
        <w:rPr>
          <w:rFonts w:ascii="Times New Roman" w:hAnsi="Times New Roman"/>
          <w:b w:val="0"/>
          <w:i w:val="0"/>
          <w:sz w:val="22"/>
        </w:rPr>
        <w:t xml:space="preserve">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conserva en un repositorio versionado del proyecto: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‹‹DEPÓSITO PÚBLICO Y DOI — PENDIENTES DE DECISIÓN DE LOS AUTORES››.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Un modelo de lenguaje generativo (Claude Opus 5, Anthropic) intervino en todas las fases de esta revisión. </w:t>
      </w:r>
      <w:r>
        <w:rPr>
          <w:rFonts w:ascii="Times New Roman" w:hAnsi="Times New Roman"/>
          <w:b w:val="0"/>
          <w:i/>
          <w:sz w:val="22"/>
        </w:rPr>
        <w:t>Criterios.</w:t>
      </w:r>
      <w:r>
        <w:rPr>
          <w:rFonts w:ascii="Times New Roman" w:hAnsi="Times New Roman"/>
          <w:b w:val="0"/>
          <w:i w:val="0"/>
          <w:sz w:val="22"/>
        </w:rPr>
        <w:t xml:space="preserve"> Redactó las propuestas de criterios que se adoptaron: la unidad de inclusión por estudio y la elegibilidad de los resúmenes de congreso (5 de agosto de 2026), que decidió D.V.; los códigos PRO e INT (1 de septiembre de 2026), por orden de D.V.; el código NOORG (14 de septiembre de 2026), que firmaron los dos autores; y las reglas de desenlace, que según declara D.V. decidieron los dos autores, aunque el registro del 12 de agosto de 2026 las dejó como propuesta sin ratificar. El criterio de idioma, que se adoptó a petición del equipo, y los de texto completo (NOREC y NOPDF), que pidió D.V., no los propuso el modelo. El 4 de agosto añadió además a mitad de lote, en sus guiones de cribado, dos reglas que concretan los criterios, sin que conste una decisión de los autores. </w:t>
      </w:r>
      <w:r>
        <w:rPr>
          <w:rFonts w:ascii="Times New Roman" w:hAnsi="Times New Roman"/>
          <w:b w:val="0"/>
          <w:i/>
          <w:sz w:val="22"/>
        </w:rPr>
        <w:t>Cribado.</w:t>
      </w:r>
      <w:r>
        <w:rPr>
          <w:rFonts w:ascii="Times New Roman" w:hAnsi="Times New Roman"/>
          <w:b w:val="0"/>
          <w:i w:val="0"/>
          <w:sz w:val="22"/>
        </w:rPr>
        <w:t xml:space="preserve">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w:t>
      </w:r>
      <w:r>
        <w:rPr>
          <w:rFonts w:ascii="Times New Roman" w:hAnsi="Times New Roman"/>
          <w:b w:val="0"/>
          <w:i/>
          <w:sz w:val="22"/>
        </w:rPr>
        <w:t>Búsqueda.</w:t>
      </w:r>
      <w:r>
        <w:rPr>
          <w:rFonts w:ascii="Times New Roman" w:hAnsi="Times New Roman"/>
          <w:b w:val="0"/>
          <w:i w:val="0"/>
          <w:sz w:val="22"/>
        </w:rPr>
        <w:t xml:space="preserve"> Redactó las ecuaciones de cada plataforma y sus reglas de diseño (3 de agosto de 2026), que según declara D.V. ejecutó D.V. en cada interfaz con la guía del modelo; redactó los mensajes de los commits del 3 de agosto de 2026, que narran esa ejecución en primera persona, y descargó por API los registros de PubMed y ClinicalTrials.gov. </w:t>
      </w:r>
      <w:r>
        <w:rPr>
          <w:rFonts w:ascii="Times New Roman" w:hAnsi="Times New Roman"/>
          <w:b w:val="0"/>
          <w:i/>
          <w:sz w:val="22"/>
        </w:rPr>
        <w:t>Selección y extracción.</w:t>
      </w:r>
      <w:r>
        <w:rPr>
          <w:rFonts w:ascii="Times New Roman" w:hAnsi="Times New Roman"/>
          <w:b w:val="0"/>
          <w:i w:val="0"/>
          <w:sz w:val="22"/>
        </w:rPr>
        <w:t xml:space="preserve"> Localizó y descargó textos completos, también con un navegador; propuso la agrupación de los informes en estudios; leyó los textos completos y las fichas de registro y propuso, con su cita, las exclusiones que se apoyan en ellos; de las 118 exclusiones a texto completo, 89 las firmaron los dos autores, 2 las firmó D.V. solo y 27 se registraron por orden de D.V. del 1 y el 2 de septiembre de 2026 sin que conste la firma de N.T.;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tradujo a categorías las conclusiones firmadas de la relectura y aplicó las que dejaban un valor único; detectó y leyó primero los pares de estudios que podían compartir pacientes, antes de la relectura de los autores, y descartó 2 de ellos sin que los autores firmaran ese descarte; y redactó, en primera persona de D.V., las instrucciones y los mensajes dirigidos a N.T., entre ellos el que pidió su firma para las correcciones de modalidad, que presentaba como lectura de D.V. la que había hecho el modelo. </w:t>
      </w:r>
      <w:r>
        <w:rPr>
          <w:rFonts w:ascii="Times New Roman" w:hAnsi="Times New Roman"/>
          <w:b w:val="0"/>
          <w:i/>
          <w:sz w:val="22"/>
        </w:rPr>
        <w:t>Riesgo de sesgo.</w:t>
      </w:r>
      <w:r>
        <w:rPr>
          <w:rFonts w:ascii="Times New Roman" w:hAnsi="Times New Roman"/>
          <w:b w:val="0"/>
          <w:i w:val="0"/>
          <w:sz w:val="22"/>
        </w:rPr>
        <w:t xml:space="preserve"> Puso en cada casilla de los formularios, como comentario, las frases del artículo que localizó de forma automática para cada dominio, y generó el cuaderno de consenso con los juicios coincidentes precargados. </w:t>
      </w:r>
      <w:r>
        <w:rPr>
          <w:rFonts w:ascii="Times New Roman" w:hAnsi="Times New Roman"/>
          <w:b w:val="0"/>
          <w:i/>
          <w:sz w:val="22"/>
        </w:rPr>
        <w:t>Canal y redacción.</w:t>
      </w:r>
      <w:r>
        <w:rPr>
          <w:rFonts w:ascii="Times New Roman" w:hAnsi="Times New Roman"/>
          <w:b w:val="0"/>
          <w:i w:val="0"/>
          <w:sz w:val="22"/>
        </w:rPr>
        <w:t xml:space="preserve"> Escribió y ejecutó todo el código del canal, del que sale cada cifra, tabla y figura, y redactó los borradores del manuscrito, de los anexos, de la carta de presentación y de los registros de decisión. Salvo lo anterior, la extracción de datos y los juicios de riesgo de sesgo los emitieron los autores, aunque sin independencia acreditada entre sus dos lecturas (secciones 2.6 y 2.7). Cada decisión del cribado vigente está registrada con su motivo y su marca de tiempo, y se aporta íntegra (S3, S4); la primera pasada del 4 de agosto sobre el brazo A de PubMed, que el cribado del pozo sustituyó, consta en el repositorio y no en S3. D.V. asume la responsabilidad por la exactitud e integridad del trabajo; la de N.T. queda pendiente de su aprobación escrita.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65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2017–2026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56</w:t>
            </w:r>
          </w:p>
        </w:tc>
        <w:tc>
          <w:tcPr>
            <w:tcW w:type="dxa" w:w="3009"/>
          </w:tcPr>
          <w:p>
            <w:r/>
            <w:r>
              <w:rPr>
                <w:rFonts w:ascii="Times New Roman" w:hAnsi="Times New Roman"/>
                <w:b w:val="0"/>
                <w:i w:val="0"/>
                <w:sz w:val="18"/>
              </w:rPr>
              <w:t>86.2</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52.3</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16</w:t>
            </w:r>
          </w:p>
        </w:tc>
        <w:tc>
          <w:tcPr>
            <w:tcW w:type="dxa" w:w="3009"/>
          </w:tcPr>
          <w:p>
            <w:r/>
            <w:r>
              <w:rPr>
                <w:rFonts w:ascii="Times New Roman" w:hAnsi="Times New Roman"/>
                <w:b w:val="0"/>
                <w:i w:val="0"/>
                <w:sz w:val="18"/>
              </w:rPr>
              <w:t>24.6</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10.8</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Otros 9 países, un estudio cada uno</w:t>
            </w:r>
          </w:p>
        </w:tc>
        <w:tc>
          <w:tcPr>
            <w:tcW w:type="dxa" w:w="3009"/>
          </w:tcPr>
          <w:p>
            <w:r/>
            <w:r>
              <w:rPr>
                <w:rFonts w:ascii="Times New Roman" w:hAnsi="Times New Roman"/>
                <w:b w:val="0"/>
                <w:i w:val="0"/>
                <w:sz w:val="18"/>
              </w:rPr>
              <w:t>9</w:t>
            </w:r>
          </w:p>
        </w:tc>
        <w:tc>
          <w:tcPr>
            <w:tcW w:type="dxa" w:w="3009"/>
          </w:tcPr>
          <w:p>
            <w:r/>
            <w:r>
              <w:rPr>
                <w:rFonts w:ascii="Times New Roman" w:hAnsi="Times New Roman"/>
                <w:b w:val="0"/>
                <w:i w:val="0"/>
                <w:sz w:val="18"/>
              </w:rPr>
              <w:t>13.8</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41</w:t>
            </w:r>
          </w:p>
        </w:tc>
        <w:tc>
          <w:tcPr>
            <w:tcW w:type="dxa" w:w="3009"/>
          </w:tcPr>
          <w:p>
            <w:r/>
            <w:r>
              <w:rPr>
                <w:rFonts w:ascii="Times New Roman" w:hAnsi="Times New Roman"/>
                <w:b w:val="0"/>
                <w:i w:val="0"/>
                <w:sz w:val="18"/>
              </w:rPr>
              <w:t>63.1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No asignable en el resumen</w:t>
            </w:r>
          </w:p>
        </w:tc>
        <w:tc>
          <w:tcPr>
            <w:tcW w:type="dxa" w:w="1805"/>
          </w:tcPr>
          <w:p>
            <w:r/>
            <w:r>
              <w:rPr>
                <w:rFonts w:ascii="Times New Roman" w:hAnsi="Times New Roman"/>
                <w:b/>
                <w:i w:val="0"/>
                <w:sz w:val="18"/>
              </w:rPr>
              <w:t>Declarado en el texto completo</w:t>
            </w:r>
          </w:p>
        </w:tc>
        <w:tc>
          <w:tcPr>
            <w:tcW w:type="dxa" w:w="1805"/>
          </w:tcPr>
          <w:p>
            <w:r/>
            <w:r>
              <w:rPr>
                <w:rFonts w:ascii="Times New Roman" w:hAnsi="Times New Roman"/>
                <w:b/>
                <w:i w:val="0"/>
                <w:sz w:val="18"/>
              </w:rPr>
              <w:t>Declarado pero no clasificable</w:t>
            </w:r>
          </w:p>
        </w:tc>
        <w:tc>
          <w:tcPr>
            <w:tcW w:type="dxa" w:w="1805"/>
          </w:tcPr>
          <w:p>
            <w:r/>
            <w:r>
              <w:rPr>
                <w:rFonts w:ascii="Times New Roman" w:hAnsi="Times New Roman"/>
                <w:b/>
                <w:i w:val="0"/>
                <w:sz w:val="18"/>
              </w:rPr>
              <w:t>No declarado en el texto completo</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33 (50.8 %)</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15</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17 (26.2 %)</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5</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32 (49.2 %)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36 (55.4 %)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63 (96.9 %)</w:t>
            </w:r>
          </w:p>
        </w:tc>
        <w:tc>
          <w:tcPr>
            <w:tcW w:type="dxa" w:w="1805"/>
          </w:tcPr>
          <w:p>
            <w:r/>
            <w:r>
              <w:rPr>
                <w:rFonts w:ascii="Times New Roman" w:hAnsi="Times New Roman"/>
                <w:b w:val="0"/>
                <w:i w:val="0"/>
                <w:sz w:val="18"/>
              </w:rPr>
              <w:t>63</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0</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Lo que el criterio del texto completo deja fuera: estudios incluidos frente a excluidos por no disponer del artículo.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Incluidos (texto completo leído)</w:t>
            </w:r>
          </w:p>
        </w:tc>
        <w:tc>
          <w:tcPr>
            <w:tcW w:type="dxa" w:w="3009"/>
          </w:tcPr>
          <w:p>
            <w:r/>
            <w:r>
              <w:rPr>
                <w:rFonts w:ascii="Times New Roman" w:hAnsi="Times New Roman"/>
                <w:b/>
                <w:i w:val="0"/>
                <w:sz w:val="18"/>
              </w:rPr>
              <w:t>Excluidos por no tener el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65</w:t>
            </w:r>
          </w:p>
        </w:tc>
        <w:tc>
          <w:tcPr>
            <w:tcW w:type="dxa" w:w="3009"/>
          </w:tcPr>
          <w:p>
            <w:r/>
            <w:r>
              <w:rPr>
                <w:rFonts w:ascii="Times New Roman" w:hAnsi="Times New Roman"/>
                <w:b w:val="0"/>
                <w:i w:val="0"/>
                <w:sz w:val="18"/>
              </w:rPr>
              <w:t>25</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7</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3.1</w:t>
            </w:r>
          </w:p>
        </w:tc>
        <w:tc>
          <w:tcPr>
            <w:tcW w:type="dxa" w:w="3009"/>
          </w:tcPr>
          <w:p>
            <w:r/>
            <w:r>
              <w:rPr>
                <w:rFonts w:ascii="Times New Roman" w:hAnsi="Times New Roman"/>
                <w:b w:val="0"/>
                <w:i w:val="0"/>
                <w:sz w:val="18"/>
              </w:rPr>
              <w:t>28.0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5</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348</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Revisión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Síntesis secundaria (revisión sistemática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preclínico o de modelización;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infección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evalúa fagoterapia en pacientes (encuesta, epidemiología,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73 brazos).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
              <w:rPr>
                <w:rFonts w:ascii="Times New Roman" w:hAnsi="Times New Roman"/>
                <w:b/>
                <w:i w:val="0"/>
                <w:sz w:val="18"/>
              </w:rPr>
              <w:t>Desenlace</w:t>
            </w:r>
          </w:p>
        </w:tc>
        <w:tc>
          <w:tcPr>
            <w:tcW w:type="dxa" w:w="2256"/>
          </w:tcPr>
          <w:p>
            <w:r/>
            <w:r>
              <w:rPr>
                <w:rFonts w:ascii="Times New Roman" w:hAnsi="Times New Roman"/>
                <w:b/>
                <w:i w:val="0"/>
                <w:sz w:val="18"/>
              </w:rPr>
              <w:t>Con numerador y denominador</w:t>
            </w:r>
          </w:p>
        </w:tc>
        <w:tc>
          <w:tcPr>
            <w:tcW w:type="dxa" w:w="2256"/>
          </w:tcPr>
          <w:p>
            <w:r/>
            <w:r>
              <w:rPr>
                <w:rFonts w:ascii="Times New Roman" w:hAnsi="Times New Roman"/>
                <w:b/>
                <w:i w:val="0"/>
                <w:sz w:val="18"/>
              </w:rPr>
              <w:t>% de los 73 brazos</w:t>
            </w:r>
          </w:p>
        </w:tc>
        <w:tc>
          <w:tcPr>
            <w:tcW w:type="dxa" w:w="2256"/>
          </w:tcPr>
          <w:p>
            <w:r/>
            <w:r>
              <w:rPr>
                <w:rFonts w:ascii="Times New Roman" w:hAnsi="Times New Roman"/>
                <w:b/>
                <w:i w:val="0"/>
                <w:sz w:val="18"/>
              </w:rPr>
              <w:t>% con doble lectura</w:t>
            </w:r>
          </w:p>
        </w:tc>
      </w:tr>
      <w:tr>
        <w:tc>
          <w:tcPr>
            <w:tcW w:type="dxa" w:w="2256"/>
          </w:tcPr>
          <w:p>
            <w:r/>
            <w:r>
              <w:rPr>
                <w:rFonts w:ascii="Times New Roman" w:hAnsi="Times New Roman"/>
                <w:b w:val="0"/>
                <w:i w:val="0"/>
                <w:sz w:val="18"/>
              </w:rPr>
              <w:t>Éxito clínico</w:t>
            </w:r>
          </w:p>
        </w:tc>
        <w:tc>
          <w:tcPr>
            <w:tcW w:type="dxa" w:w="2256"/>
          </w:tcPr>
          <w:p>
            <w:r/>
            <w:r>
              <w:rPr>
                <w:rFonts w:ascii="Times New Roman" w:hAnsi="Times New Roman"/>
                <w:b w:val="0"/>
                <w:i w:val="0"/>
                <w:sz w:val="18"/>
              </w:rPr>
              <w:t>64</w:t>
            </w:r>
          </w:p>
        </w:tc>
        <w:tc>
          <w:tcPr>
            <w:tcW w:type="dxa" w:w="2256"/>
          </w:tcPr>
          <w:p>
            <w:r/>
            <w:r>
              <w:rPr>
                <w:rFonts w:ascii="Times New Roman" w:hAnsi="Times New Roman"/>
                <w:b w:val="0"/>
                <w:i w:val="0"/>
                <w:sz w:val="18"/>
              </w:rPr>
              <w:t>87.7</w:t>
            </w:r>
          </w:p>
        </w:tc>
        <w:tc>
          <w:tcPr>
            <w:tcW w:type="dxa" w:w="2256"/>
          </w:tcPr>
          <w:p>
            <w:r/>
            <w:r>
              <w:rPr>
                <w:rFonts w:ascii="Times New Roman" w:hAnsi="Times New Roman"/>
                <w:b w:val="0"/>
                <w:i w:val="0"/>
                <w:sz w:val="18"/>
              </w:rPr>
              <w:t>98.4</w:t>
            </w:r>
          </w:p>
        </w:tc>
      </w:tr>
      <w:tr>
        <w:tc>
          <w:tcPr>
            <w:tcW w:type="dxa" w:w="2256"/>
          </w:tcPr>
          <w:p>
            <w:r/>
            <w:r>
              <w:rPr>
                <w:rFonts w:ascii="Times New Roman" w:hAnsi="Times New Roman"/>
                <w:b w:val="0"/>
                <w:i w:val="0"/>
                <w:sz w:val="18"/>
              </w:rPr>
              <w:t>Erradicación microbiológica</w:t>
            </w:r>
          </w:p>
        </w:tc>
        <w:tc>
          <w:tcPr>
            <w:tcW w:type="dxa" w:w="2256"/>
          </w:tcPr>
          <w:p>
            <w:r/>
            <w:r>
              <w:rPr>
                <w:rFonts w:ascii="Times New Roman" w:hAnsi="Times New Roman"/>
                <w:b w:val="0"/>
                <w:i w:val="0"/>
                <w:sz w:val="18"/>
              </w:rPr>
              <w:t>53</w:t>
            </w:r>
          </w:p>
        </w:tc>
        <w:tc>
          <w:tcPr>
            <w:tcW w:type="dxa" w:w="2256"/>
          </w:tcPr>
          <w:p>
            <w:r/>
            <w:r>
              <w:rPr>
                <w:rFonts w:ascii="Times New Roman" w:hAnsi="Times New Roman"/>
                <w:b w:val="0"/>
                <w:i w:val="0"/>
                <w:sz w:val="18"/>
              </w:rPr>
              <w:t>72.6</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Mortalidad</w:t>
            </w:r>
          </w:p>
        </w:tc>
        <w:tc>
          <w:tcPr>
            <w:tcW w:type="dxa" w:w="2256"/>
          </w:tcPr>
          <w:p>
            <w:r/>
            <w:r>
              <w:rPr>
                <w:rFonts w:ascii="Times New Roman" w:hAnsi="Times New Roman"/>
                <w:b w:val="0"/>
                <w:i w:val="0"/>
                <w:sz w:val="18"/>
              </w:rPr>
              <w:t>66</w:t>
            </w:r>
          </w:p>
        </w:tc>
        <w:tc>
          <w:tcPr>
            <w:tcW w:type="dxa" w:w="2256"/>
          </w:tcPr>
          <w:p>
            <w:r/>
            <w:r>
              <w:rPr>
                <w:rFonts w:ascii="Times New Roman" w:hAnsi="Times New Roman"/>
                <w:b w:val="0"/>
                <w:i w:val="0"/>
                <w:sz w:val="18"/>
              </w:rPr>
              <w:t>90.4</w:t>
            </w:r>
          </w:p>
        </w:tc>
        <w:tc>
          <w:tcPr>
            <w:tcW w:type="dxa" w:w="2256"/>
          </w:tcPr>
          <w:p>
            <w:r/>
            <w:r>
              <w:rPr>
                <w:rFonts w:ascii="Times New Roman" w:hAnsi="Times New Roman"/>
                <w:b w:val="0"/>
                <w:i w:val="0"/>
                <w:sz w:val="18"/>
              </w:rPr>
              <w:t>98.5</w:t>
            </w:r>
          </w:p>
        </w:tc>
      </w:tr>
      <w:tr>
        <w:tc>
          <w:tcPr>
            <w:tcW w:type="dxa" w:w="2256"/>
          </w:tcPr>
          <w:p>
            <w:r/>
            <w:r>
              <w:rPr>
                <w:rFonts w:ascii="Times New Roman" w:hAnsi="Times New Roman"/>
                <w:b w:val="0"/>
                <w:i w:val="0"/>
                <w:sz w:val="18"/>
              </w:rPr>
              <w:t>Eventos adversos</w:t>
            </w:r>
          </w:p>
        </w:tc>
        <w:tc>
          <w:tcPr>
            <w:tcW w:type="dxa" w:w="2256"/>
          </w:tcPr>
          <w:p>
            <w:r/>
            <w:r>
              <w:rPr>
                <w:rFonts w:ascii="Times New Roman" w:hAnsi="Times New Roman"/>
                <w:b w:val="0"/>
                <w:i w:val="0"/>
                <w:sz w:val="18"/>
              </w:rPr>
              <w:t>65</w:t>
            </w:r>
          </w:p>
        </w:tc>
        <w:tc>
          <w:tcPr>
            <w:tcW w:type="dxa" w:w="2256"/>
          </w:tcPr>
          <w:p>
            <w:r/>
            <w:r>
              <w:rPr>
                <w:rFonts w:ascii="Times New Roman" w:hAnsi="Times New Roman"/>
                <w:b w:val="0"/>
                <w:i w:val="0"/>
                <w:sz w:val="18"/>
              </w:rPr>
              <w:t>89.0</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Emergencia de resistencia al fago</w:t>
            </w:r>
          </w:p>
        </w:tc>
        <w:tc>
          <w:tcPr>
            <w:tcW w:type="dxa" w:w="2256"/>
          </w:tcPr>
          <w:p>
            <w:r/>
            <w:r>
              <w:rPr>
                <w:rFonts w:ascii="Times New Roman" w:hAnsi="Times New Roman"/>
                <w:b w:val="0"/>
                <w:i w:val="0"/>
                <w:sz w:val="18"/>
              </w:rPr>
              <w:t>26</w:t>
            </w:r>
          </w:p>
        </w:tc>
        <w:tc>
          <w:tcPr>
            <w:tcW w:type="dxa" w:w="2256"/>
          </w:tcPr>
          <w:p>
            <w:r/>
            <w:r>
              <w:rPr>
                <w:rFonts w:ascii="Times New Roman" w:hAnsi="Times New Roman"/>
                <w:b w:val="0"/>
                <w:i w:val="0"/>
                <w:sz w:val="18"/>
              </w:rPr>
              <w:t>35.6</w:t>
            </w:r>
          </w:p>
        </w:tc>
        <w:tc>
          <w:tcPr>
            <w:tcW w:type="dxa" w:w="2256"/>
          </w:tcPr>
          <w:p>
            <w:r/>
            <w:r>
              <w:rPr>
                <w:rFonts w:ascii="Times New Roman" w:hAnsi="Times New Roman"/>
                <w:b w:val="0"/>
                <w:i w:val="0"/>
                <w:sz w:val="18"/>
              </w:rPr>
              <w:t>57.7</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73 brazos).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Requisito acumulado</w:t>
            </w:r>
          </w:p>
        </w:tc>
        <w:tc>
          <w:tcPr>
            <w:tcW w:type="dxa" w:w="3009"/>
          </w:tcPr>
          <w:p>
            <w:r/>
            <w:r>
              <w:rPr>
                <w:rFonts w:ascii="Times New Roman" w:hAnsi="Times New Roman"/>
                <w:b/>
                <w:i w:val="0"/>
                <w:sz w:val="18"/>
              </w:rPr>
              <w:t>Efecto comparativo: brazos que quedan</w:t>
            </w:r>
          </w:p>
        </w:tc>
        <w:tc>
          <w:tcPr>
            <w:tcW w:type="dxa" w:w="3009"/>
          </w:tcPr>
          <w:p>
            <w:r/>
            <w:r>
              <w:rPr>
                <w:rFonts w:ascii="Times New Roman" w:hAnsi="Times New Roman"/>
                <w:b/>
                <w:i w:val="0"/>
                <w:sz w:val="18"/>
              </w:rPr>
              <w:t>Proporción descriptiva: brazos que quedan</w:t>
            </w:r>
          </w:p>
        </w:tc>
      </w:tr>
      <w:tr>
        <w:tc>
          <w:tcPr>
            <w:tcW w:type="dxa" w:w="3009"/>
          </w:tcPr>
          <w:p>
            <w:r/>
            <w:r>
              <w:rPr>
                <w:rFonts w:ascii="Times New Roman" w:hAnsi="Times New Roman"/>
                <w:b w:val="0"/>
                <w:i w:val="0"/>
                <w:sz w:val="18"/>
              </w:rPr>
              <w:t>Brazos extraídos</w:t>
            </w:r>
          </w:p>
        </w:tc>
        <w:tc>
          <w:tcPr>
            <w:tcW w:type="dxa" w:w="3009"/>
          </w:tcPr>
          <w:p>
            <w:r/>
            <w:r>
              <w:rPr>
                <w:rFonts w:ascii="Times New Roman" w:hAnsi="Times New Roman"/>
                <w:b w:val="0"/>
                <w:i w:val="0"/>
                <w:sz w:val="18"/>
              </w:rPr>
              <w:t>73</w:t>
            </w:r>
          </w:p>
        </w:tc>
        <w:tc>
          <w:tcPr>
            <w:tcW w:type="dxa" w:w="3009"/>
          </w:tcPr>
          <w:p>
            <w:r/>
            <w:r>
              <w:rPr>
                <w:rFonts w:ascii="Times New Roman" w:hAnsi="Times New Roman"/>
                <w:b w:val="0"/>
                <w:i w:val="0"/>
                <w:sz w:val="18"/>
              </w:rPr>
              <w:t>73 (65 estudios)</w:t>
            </w:r>
          </w:p>
        </w:tc>
      </w:tr>
      <w:tr>
        <w:tc>
          <w:tcPr>
            <w:tcW w:type="dxa" w:w="3009"/>
          </w:tcPr>
          <w:p>
            <w:r/>
            <w:r>
              <w:rPr>
                <w:rFonts w:ascii="Times New Roman" w:hAnsi="Times New Roman"/>
                <w:b w:val="0"/>
                <w:i w:val="0"/>
                <w:sz w:val="18"/>
              </w:rPr>
              <w:t>Diseño comparativo</w:t>
            </w:r>
          </w:p>
        </w:tc>
        <w:tc>
          <w:tcPr>
            <w:tcW w:type="dxa" w:w="3009"/>
          </w:tcPr>
          <w:p>
            <w:r/>
            <w:r>
              <w:rPr>
                <w:rFonts w:ascii="Times New Roman" w:hAnsi="Times New Roman"/>
                <w:b w:val="0"/>
                <w:i w:val="0"/>
                <w:sz w:val="18"/>
              </w:rPr>
              <w:t>12</w:t>
            </w:r>
          </w:p>
        </w:tc>
        <w:tc>
          <w:tcPr>
            <w:tcW w:type="dxa" w:w="3009"/>
          </w:tcPr>
          <w:p>
            <w:r/>
            <w:r>
              <w:rPr>
                <w:rFonts w:ascii="Times New Roman" w:hAnsi="Times New Roman"/>
                <w:b w:val="0"/>
                <w:i w:val="0"/>
                <w:sz w:val="18"/>
              </w:rPr>
              <w:t>no se aplica</w:t>
            </w:r>
          </w:p>
        </w:tc>
      </w:tr>
      <w:tr>
        <w:tc>
          <w:tcPr>
            <w:tcW w:type="dxa" w:w="3009"/>
          </w:tcPr>
          <w:p>
            <w:r/>
            <w:r>
              <w:rPr>
                <w:rFonts w:ascii="Times New Roman" w:hAnsi="Times New Roman"/>
                <w:b w:val="0"/>
                <w:i w:val="0"/>
                <w:sz w:val="18"/>
              </w:rPr>
              <w:t>Numerador y denominador coherentes</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64 (60 estudios)</w:t>
            </w:r>
          </w:p>
        </w:tc>
      </w:tr>
      <w:tr>
        <w:tc>
          <w:tcPr>
            <w:tcW w:type="dxa" w:w="3009"/>
          </w:tcPr>
          <w:p>
            <w:r/>
            <w:r>
              <w:rPr>
                <w:rFonts w:ascii="Times New Roman" w:hAnsi="Times New Roman"/>
                <w:b w:val="0"/>
                <w:i w:val="0"/>
                <w:sz w:val="18"/>
              </w:rPr>
              <w:t>Definición operativa del éxito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 (20 estudios)</w:t>
            </w:r>
          </w:p>
        </w:tc>
      </w:tr>
      <w:tr>
        <w:tc>
          <w:tcPr>
            <w:tcW w:type="dxa" w:w="3009"/>
          </w:tcPr>
          <w:p>
            <w:r/>
            <w:r>
              <w:rPr>
                <w:rFonts w:ascii="Times New Roman" w:hAnsi="Times New Roman"/>
                <w:b w:val="0"/>
                <w:i w:val="0"/>
                <w:sz w:val="18"/>
              </w:rPr>
              <w:t>Desenlace atribuible a P. aeruginosa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Administración terapéutica, no profiláctica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Reporta una proporción, no un tiempo</w:t>
            </w:r>
          </w:p>
        </w:tc>
        <w:tc>
          <w:tcPr>
            <w:tcW w:type="dxa" w:w="3009"/>
          </w:tcPr>
          <w:p>
            <w:r/>
            <w:r>
              <w:rPr>
                <w:rFonts w:ascii="Times New Roman" w:hAnsi="Times New Roman"/>
                <w:b w:val="0"/>
                <w:i w:val="0"/>
                <w:sz w:val="18"/>
              </w:rPr>
              <w:t>0</w:t>
            </w:r>
          </w:p>
        </w:tc>
        <w:tc>
          <w:tcPr>
            <w:tcW w:type="dxa" w:w="3009"/>
          </w:tcPr>
          <w:p>
            <w:r/>
            <w:r>
              <w:rPr>
                <w:rFonts w:ascii="Times New Roman" w:hAnsi="Times New Roman"/>
                <w:b w:val="0"/>
                <w:i w:val="0"/>
                <w:sz w:val="18"/>
              </w:rPr>
              <w:t>19 (16 estudios)</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5081277"/>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081277"/>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rFonts w:ascii="Times New Roman" w:hAnsi="Times New Roman"/>
          <w:b w:val="0"/>
          <w:i/>
          <w:sz w:val="22"/>
        </w:rPr>
        <w:t>Fuente.</w:t>
      </w:r>
      <w:r>
        <w:rPr>
          <w:rFonts w:ascii="Times New Roman" w:hAnsi="Times New Roman"/>
          <w:b w:val="0"/>
          <w:i w:val="0"/>
          <w:sz w:val="22"/>
        </w:rPr>
        <w:t xml:space="preserve"> Canal de cribado del proyecto; ejecuciones documentadas de las búsquedas del 3 y el 4 de agosto de 2026, con la exportación de BVS incorporada al corpus el 10 de agosto.</w:t>
      </w:r>
    </w:p>
    <w:p>
      <w:pPr>
        <w:spacing w:before="240" w:after="100" w:line="240" w:lineRule="auto"/>
      </w:pPr>
      <w:r>
        <w:rPr>
          <w:rFonts w:ascii="Times New Roman" w:hAnsi="Times New Roman"/>
          <w:b w:val="0"/>
          <w:i/>
          <w:sz w:val="18"/>
        </w:rPr>
        <w:t>Figura 2. Composición del cuerpo de evidencia recuperable (n = 65 estudios).</w:t>
      </w:r>
    </w:p>
    <w:p>
      <w:pPr>
        <w:jc w:val="center"/>
      </w:pPr>
      <w:r>
        <w:drawing>
          <wp:inline xmlns:a="http://schemas.openxmlformats.org/drawingml/2006/main" xmlns:pic="http://schemas.openxmlformats.org/drawingml/2006/picture">
            <wp:extent cx="5120640" cy="2347675"/>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7675"/>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65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Autoevaluación del manuscrito que redactó el modelo de lenguaje (Claude Opus 5) desde el punto de vista de un editor de revista; no es un informe de un editor ni una revisión externa.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su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Las decisiones del cribado vigente, en dos ficheros: etapa 2 (título) y etapa 3 (resumen), cada una con su motivo, quién la emitió y su marca de tiempo. La primera pasada del 4 de agosto de 2026 sobre el brazo A de PubMed, que el cribado del pozo sustituyó, consta en el repositorio y no en S3.</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de los 65 estudios con publicación recuperable, emitida por el modelo de lenguaje y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65 estudios del corpus, con su situación y sus informes agrupados. Los 118 excluidos después del cribado están en S16.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del cribado contra los 42 controles positivos fijados antes de empezarlo, 40 de ellos comprobables por PMID.</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Vía de recuperación resuelta en agosto de 2026 para cada informe que pasó a texto completo sin DOI editorial, PMID ni NCT: el identificador del registro o el código de protocolo, el DOI localizado, el ensayo ya identificado del que es informe o la cita por la que buscarlo. No registra los intentos de descarga ni su resultado; los estudios que se quedaron sin el artículo completo están en S16 (NOPDF).</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Idioma del cuerpo del PDF de cada uno de los 65 estudios del corpus: una detección mecánica sobre el texto de todo el PDF, no sobre los metadatos ni solo sobre el resumen, que hace un guion del canal escrito por el modelo de lenguaje, introducida el 6 de octubre de 2026 y rehecha en cada pasada. Da 65 en inglés; la columna mirar_a_mano marca 1 PDF para revisarlo página a página por su fracción de caracteres cirílicos o CJK.</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antes de resolver los desacuerdos; su independencia no está acreditada.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Cómo se cerraron los 541 desacuerdos de extracción y quién los adjudicó según el registro: los dos revisores en 14 y uno solo en 525; 2 se cerraron por una regla mecánica, sin firma conjunta.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 Las redactó el modelo de lenguaje; según declara D.V., las decidieron los dos autores, y el registro del 12 de agosto de 2026 las dejó como propuesta sin ratificar.</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la adjudicación de los desacuerdos.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adjudicada por los dos, adjudicada por uno, corregida contra el texto,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S16.</w:t>
      </w:r>
      <w:r>
        <w:rPr>
          <w:rFonts w:ascii="Times New Roman" w:hAnsi="Times New Roman"/>
          <w:b w:val="0"/>
          <w:i w:val="0"/>
          <w:sz w:val="22"/>
        </w:rPr>
        <w:t xml:space="preserve"> Los 118 estudios que el cribado admitió y que salieron después, con su código de motivo y quién decidió cada exclusión según el registro: 89 las firmaron los dos autores, 2 las firmó D.V. solo y 27 se registraron por orden de D.V. del 1 y el 2 de septiembre de 2026 sin que conste la firma de N.T. 47 llevan la cita en que se apoya; los 63 sin el artículo completo (NOPDF) y los 4 sin texto que se pudiera leer (NOREC) no tienen nada que citar, y 4 más van sin cita. De las que llevan cita, 17 citan la ficha del registro y 1, la indexación de SciELO.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S17.</w:t>
      </w:r>
      <w:r>
        <w:rPr>
          <w:rFonts w:ascii="Times New Roman" w:hAnsi="Times New Roman"/>
          <w:b w:val="0"/>
          <w:i w:val="0"/>
          <w:sz w:val="22"/>
        </w:rPr>
        <w:t xml:space="preserve"> La Tabla 6 desglosada: los siete requisitos, brazo a brazo sobre los 73 brazos, con el primero que falla y por qué.</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w:t>
      </w:r>
      <w:r>
        <w:rPr>
          <w:rFonts w:ascii="Times New Roman" w:hAnsi="Times New Roman"/>
          <w:b w:val="0"/>
          <w:i w:val="0"/>
          <w:sz w:val="22"/>
        </w:rPr>
        <w:t xml:space="preserve"> Los 68 juicios de riesgo de sesgo, uno por fila, con lo que sostiene cada uno en el cuaderno firmado: una cita literal en 24, una nota sin cita en 36 y nada en 8, marcados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S18b.</w:t>
      </w:r>
      <w:r>
        <w:rPr>
          <w:rFonts w:ascii="Times New Roman" w:hAnsi="Times New Roman"/>
          <w:b w:val="0"/>
          <w:i w:val="0"/>
          <w:sz w:val="22"/>
        </w:rPr>
        <w:t xml:space="preserve"> Las frases de cada artículo que el modelo de lenguaje localizó de forma automática para cada dominio de riesgo de sesgo y puso como comentario en los formularios; acompañan a lo que sostiene cada juicio en S18, no lo sustituyen.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S19.</w:t>
      </w:r>
      <w:r>
        <w:rPr>
          <w:rFonts w:ascii="Times New Roman" w:hAnsi="Times New Roman"/>
          <w:b w:val="0"/>
          <w:i w:val="0"/>
          <w:sz w:val="22"/>
        </w:rPr>
        <w:t xml:space="preserve"> Qué modelo emitió las decisiones de cribado, cuándo, sobre qué ficheros, qué examinó D.V., según su declaración, y qué no quedó registrado, marcado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S20.</w:t>
      </w:r>
      <w:r>
        <w:rPr>
          <w:rFonts w:ascii="Times New Roman" w:hAnsi="Times New Roman"/>
          <w:b w:val="0"/>
          <w:i w:val="0"/>
          <w:sz w:val="22"/>
        </w:rPr>
        <w:t xml:space="preserve"> De qué informe salió cada uno de los 73 brazos, y con qué prueba se estableció el vínculo.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S21.</w:t>
      </w:r>
      <w:r>
        <w:rPr>
          <w:rFonts w:ascii="Times New Roman" w:hAnsi="Times New Roman"/>
          <w:b w:val="0"/>
          <w:i w:val="0"/>
          <w:sz w:val="22"/>
        </w:rPr>
        <w:t xml:space="preserve"> Los 30 pares de estudios que podían describir a los mismos pacientes, con la señal que los marcó, el veredicto tras leer los dos artículos, los pacientes compartidos y la frase en que se apoya. 28 de los 30 veredictos llevan la firma de los dos autores; los otros 2, descartes que hizo la lectura del modelo del 22 de septiembre de 2026, no constan firmados.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S22.</w:t>
      </w:r>
      <w:r>
        <w:rPr>
          <w:rFonts w:ascii="Times New Roman" w:hAnsi="Times New Roman"/>
          <w:b w:val="0"/>
          <w:i w:val="0"/>
          <w:sz w:val="22"/>
        </w:rPr>
        <w:t xml:space="preserve"> Para cada variable de estratificación, cuántos estudios la declaran en el texto completo, cuántos la mencionan sin poder clasificarla, cuántos callan y de cuántos no hay texto.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S23.</w:t>
      </w:r>
      <w:r>
        <w:rPr>
          <w:rFonts w:ascii="Times New Roman" w:hAnsi="Times New Roman"/>
          <w:b w:val="0"/>
          <w:i w:val="0"/>
          <w:sz w:val="22"/>
        </w:rPr>
        <w:t xml:space="preserve"> La clase de resistencia de los 70 estudios que tenían texto completo, comprobada contra el antibiograma del artículo: la conclusión firmada, la frase o la tabla en que se apoya, cómo la codificó el modelo de lenguaje a partir de esa conclusión y qué cambió en la extracción.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S24.</w:t>
      </w:r>
      <w:r>
        <w:rPr>
          <w:rFonts w:ascii="Times New Roman" w:hAnsi="Times New Roman"/>
          <w:b w:val="0"/>
          <w:i w:val="0"/>
          <w:sz w:val="22"/>
        </w:rPr>
        <w:t xml:space="preserve"> Los 14 estudios con diseño comparativo, reextraídos: comparador, asignación, tiempo cero, tiempo de evaluación, cointervenciones, pérdidas, estimando y si hay un contraste para </w:t>
      </w:r>
      <w:r>
        <w:rPr>
          <w:rFonts w:ascii="Times New Roman" w:hAnsi="Times New Roman"/>
          <w:b w:val="0"/>
          <w:i/>
          <w:sz w:val="22"/>
        </w:rPr>
        <w:t>P. aeruginosa</w:t>
      </w:r>
      <w:r>
        <w:rPr>
          <w:rFonts w:ascii="Times New Roman" w:hAnsi="Times New Roman"/>
          <w:b w:val="0"/>
          <w:i w:val="0"/>
          <w:sz w:val="22"/>
        </w:rPr>
        <w:t>.</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