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w:t>
      </w:r>
    </w:p>
    <w:p>
      <w:pPr>
        <w:pStyle w:val="Heading2"/>
      </w:pPr>
      <w:r>
        <w:t>Formulario ICMJE de conflictos de interés</w:t>
      </w:r>
    </w:p>
    <w:p>
      <w:r>
        <w:t>Cada autor debe adjuntar el formulario ICMJE Disclosure of Interest firmado.</w:t>
      </w:r>
    </w:p>
    <w:p>
      <w:pPr>
        <w:pStyle w:val="Heading2"/>
      </w:pPr>
      <w:r>
        <w:t>Contribución de los autores (CRediT)</w:t>
      </w:r>
    </w:p>
    <w:p>
      <w:r>
        <w:t>D. Valdiviezo: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N. Trelles: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pStyle w:val="Heading2"/>
      </w:pPr>
      <w:r>
        <w:t>Registro del protocolo</w:t>
      </w:r>
    </w:p>
    <w:p>
      <w:r>
        <w:t>La revisión no se registró en PROSPERO ni en ningún otro registro prospectivo, y no se depositó un protocolo previo (§2.1 del informe extendido; en el manuscrito de la revista, METODOLOGÍA › Protocolo y reporte). El protocolo de la fase definitiva de la revisión se depositará en OSF; no cubre este informe, que es anterior a él.</w:t>
      </w:r>
    </w:p>
    <w:p>
      <w:pPr>
        <w:pStyle w:val="Heading2"/>
      </w:pPr>
      <w:r>
        <w:t>Disponibilidad de datos y código</w:t>
      </w:r>
    </w:p>
    <w:p>
      <w:r>
        <w:t>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pStyle w:val="Heading2"/>
      </w:pPr>
      <w:r>
        <w:t>Uso de inteligencia artificial</w:t>
      </w:r>
    </w:p>
    <w:p>
      <w:r>
        <w:rPr>
          <w:i/>
          <w:color w:val="444444"/>
          <w:sz w:val="17"/>
        </w:rPr>
        <w:t>Las secciones citadas son las del informe extendido; en el manuscrito de la revista, METODOLOGÍA › Extracción de datos y Evaluación del riesgo de sesgo.</w:t>
      </w:r>
    </w:p>
    <w:p>
      <w:r>
        <w:t>Un modelo de lenguaje generativo (Claude Opus 5, Anthropic) intervino en todas las fases de esta revisión. Criterios.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Cribado.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Búsqueda.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Selección y extracción.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detectó y leyó primero los pares de estudios que podían compartir pacientes, antes de la relectura de los autores,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Riesgo de sesgo. Puso en cada casilla de los formularios, como comentario, las frases del artículo que localizó de forma automática para cada dominio, y generó el cuaderno de consenso con los juicios coincidentes precargados. Canal y redacción.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2"/>
      </w:pPr>
      <w:r>
        <w:t>Ética y consentimiento</w:t>
      </w:r>
    </w:p>
    <w:p>
      <w:r>
        <w:t>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