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323; texto principal 4 861.</w:t>
      </w:r>
    </w:p>
    <w:p>
      <w:r>
        <w:rPr>
          <w:b/>
        </w:rPr>
        <w:t>Tablas:</w:t>
      </w:r>
      <w:r>
        <w:t xml:space="preserve"> 4. </w:t>
      </w:r>
      <w:r>
        <w:rPr>
          <w:b/>
        </w:rPr>
        <w:t>Figuras:</w:t>
      </w:r>
      <w:r>
        <w:t xml:space="preserve"> 2. </w:t>
      </w:r>
      <w:r>
        <w:rPr>
          <w:b/>
        </w:rPr>
        <w:t>Material suplementario:</w:t>
      </w:r>
      <w:r>
        <w:t xml:space="preserve"> 14 anexos (S0–S13) y su guía.</w:t>
      </w:r>
    </w:p>
    <w:p>
      <w:pPr>
        <w:pStyle w:val="Heading1"/>
      </w:pPr>
      <w:r>
        <w:t>Resumen</w:t>
      </w:r>
    </w:p>
    <w:p>
      <w:r>
        <w:rPr>
          <w:b/>
        </w:rPr>
        <w:t>Antecedentes.</w:t>
      </w:r>
      <w:r>
        <w:t xml:space="preserve"> </w:t>
      </w:r>
      <w:r>
        <w:rPr>
          <w:i/>
        </w:rPr>
        <w:t>Pseudomonas aeruginosa</w:t>
      </w:r>
      <w:r>
        <w:t xml:space="preserve"> resistente a carbapenémicos figura como patógeno de prioridad </w:t>
      </w:r>
      <w:r>
        <w:rPr>
          <w:b/>
        </w:rPr>
        <w:t>alta</w:t>
      </w:r>
      <w:r>
        <w:t xml:space="preserve"> en la lista de la OMS de 2024, tras haber sido de prioridad crítica en la de 2017.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ocho bases y registros, incluidos BVS y SciELO, con una ventana de publicación de 2016 a 2026 aplicada en las fuentes que la admiten. Solo se admitieron informes en inglés o español, criterio incorporado como enmienda posterior al cribado y verificado informe a informe, también sobre el texto completo de cada PDF. La unidad de inclusión fue el estudio, no el informe. La extracción se realizó a mano, y la caracterización que aquí se reporta procede de una pre-extracción sistemática desde el resumen.</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puede asignarse la clase de resistencia en el 80,6 %. Se obtuvo el texto completo de 93 estudios (75,0 %); la fracción restante concentra el 47,8 % de los diseños comparativos. El criterio de idioma eliminó 35 estudios, 18 de ellos comparativos.</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48 estudios que declaran procedencia, 21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toda cifra que este artículo publica, la emitió el mismo modelo bajo el esquema de variables fijado de antemano, y cada registro quedó marcado como parcial. La </w:t>
      </w:r>
      <w:r>
        <w:rPr>
          <w:b/>
        </w:rPr>
        <w:t>extracción desde el texto completo</w:t>
      </w:r>
      <w:r>
        <w:t>, que alimentaría los desenlaces, la realizaron los revisores a mano y sin modelo; sus resultados no se reportan aquí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31 variables y vocabularios controlados, se piloteó sobre cinco estudios antes de su uso. La extracción se hizo </w:t>
      </w:r>
      <w:r>
        <w:rPr>
          <w:b/>
        </w:rPr>
        <w:t>por duplicado e independiente</w:t>
      </w:r>
      <w:r>
        <w:t xml:space="preserve"> entre los dos revisores. Un revisor extrajo los 124 estudios con publicación recuperable y el segundo extrajo 122 de ellos, de modo que el 98 % del corpus tiene doble extracción. Sobre las 130 filas de brazo comparables se registraron 575 desacuerdos de valor; la concordancia, medida antes de resolverlos, fue del 78 % de acuerdo mediano y una kappa de Cohen mediana de 0,57 sobre los 8 de 9 campos categóricos en que resulta informativa, con un recorrido del 55 % al 100 % según la variable. Las discrepancias se resolvieron por consenso entre los dos revisores, con registro de quién resolvió y cuándo: hay 559 de 575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Los datos que se reportan proceden de una pre-extracción sistemática desde el resumen de los 124 estudios, realizada con el mismo esquema de variables y marcada como parcial en cada registro. Este informe no presenta estimaciones de eficacia: caracteriza la estructura del cuerpo de evidencia y su </w:t>
      </w:r>
      <w:r>
        <w:rPr>
          <w:b/>
        </w:rPr>
        <w:t>verificabilidad</w:t>
      </w:r>
      <w:r>
        <w:t>, con dos componentes medidos —la recuperabilidad del informe (secciones 3.1 y 3.2) y la completitud de reporte (sección 3.4)—.</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93 de los 124 estudios recuperables (75,0 %)</w:t>
      </w:r>
      <w:r>
        <w:t xml:space="preserve"> por vías de acceso abierto legítimas. Los 31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80,6 %</w:t>
      </w:r>
      <w:r>
        <w:t xml:space="preserve"> de los estudios: el 70,2 % no la menciona en absoluto y un 10,5 %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no presenta desenlaces, ni riesgo de sesgo, ni certeza GRADE: es una caracterización del cuerpo de evidencia, no una síntesis de sus resultados. </w:t>
      </w:r>
      <w:r>
        <w:rPr>
          <w:b/>
        </w:rPr>
        <w:t>Cuarta:</w:t>
      </w:r>
      <w:r>
        <w:t xml:space="preserve"> el texto completo se obtuvo para el 75,0 %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r>
        <w:rPr>
          <w:b/>
        </w:rPr>
        <w:t>Agradecimientos.</w:t>
      </w:r>
      <w:r>
        <w:t xml:space="preserve"> Los autores agradecen al personal de la biblioteca de la Universidad Católica de Cuenca la gestión de las solicitudes de préstamo interbibliotecario, y a los autores de los estudios que respondieron a las peticiones de texto completo.</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