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262; main text 5 410.</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 233 reports formed 184 studies, 124 with a retrievable publication. Single case reports, 39.5 %; comparative, 18.5 %; resistance class unassignable, 80.6 %. Full text was obtained for 93 (75.0 %) and what is missing concentrates 47.8 % of the comparative designs; the language criterion removed 35 studies, 18 comparative. In 89 of the 132 arms (67.4 %) no operational definition of clinical success is on record, and only 3 combine comparative design, numerator, denominator and a definition. Applying the review's own eligibility criteria and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124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Those percentages are computed over all 132 arms and therefore include 31 from studies whose full text has not been retrieved: of an article one has not been able to read, one cannot assert that it is silent. Over the 101 readable arms the figures rise — from 73.5 % to 84.2 % for adverse events, from 24.2 % to 31.7 % for resistance — and Table 5 gives both columns so the reader can separate the literature's silence from this review's own documentary gap. Clinical success, the outcome that published syntheses pool, is reported with numerator and denominator in 62.9 % of arms. Two arms report a numerator larger than their denominator — thirteen clinical successes in one patient, and five adverse events in four — and are flagged as reporting errors, not read as proportions.</w:t>
      </w:r>
    </w:p>
    <w:p>
      <w:r>
        <w:t xml:space="preserve">That 62.9 % is misleading, however, if read as availability for pooling. </w:t>
      </w:r>
      <w:r>
        <w:rPr>
          <w:b/>
        </w:rPr>
        <w:t>In 89 of the 132 arms (67.4 %) no operational definition of clinical success is on record</w:t>
      </w:r>
      <w:r>
        <w:t>; over the 101 readable arms, in 59 (58.4 %). In 60 of them the reviewers established this by reading the article: 58 state a number of patients with a "good outcome" without saying what had to be observed to count one, and 2 left the field empty. In the remaining 29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30 of the 132 arms it cannot be classified — 20 where both reviewers agreed on "NA" and 10 still open — so the design counts are floors over the remaining 102. Of those 102, </w:t>
      </w:r>
      <w:r>
        <w:rPr>
          <w:b/>
        </w:rPr>
        <w:t>13 arms are trials</w:t>
      </w:r>
      <w:r>
        <w:t xml:space="preserve"> (randomised or not) and </w:t>
      </w:r>
      <w:r>
        <w:rPr>
          <w:b/>
        </w:rPr>
        <w:t>11 are cohorts</w:t>
      </w:r>
      <w:r>
        <w:t>. Section 3.3 and Table 1 call only the trials comparative, which is why the figure there is 23 studies; when this section says comparative it also includes the cohorts, and there are 24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3 of the 132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132 arms extracted from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132 arms).</w:t>
      </w:r>
    </w:p>
    <w:p>
      <w:r>
        <w:rPr>
          <w:b/>
        </w:rPr>
        <w:t>Table 6.</w:t>
      </w:r>
      <w:r>
        <w:t xml:space="preserve"> Arms surviving each requirement for a pooled proportion of clinical success (n = 132 extracted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