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6D4A" w14:textId="77777777" w:rsidR="00703991" w:rsidRPr="00703991" w:rsidRDefault="00703991" w:rsidP="00703991">
      <w:r w:rsidRPr="00703991">
        <w:rPr>
          <w:b/>
          <w:bCs/>
        </w:rPr>
        <w:t>Ghana's Deregulation of the Petroleum Sector: Pros and Cons</w:t>
      </w:r>
      <w:r w:rsidRPr="00703991">
        <w:br/>
        <w:t>This analysis evaluates the deregulation of Ghana’s petroleum sector, focusing on its advantages and challenges, and provides recommendations for mitigating risks.</w:t>
      </w:r>
    </w:p>
    <w:p w14:paraId="60F791D0" w14:textId="77777777" w:rsidR="00703991" w:rsidRPr="00703991" w:rsidRDefault="00703991" w:rsidP="00703991">
      <w:r w:rsidRPr="00703991">
        <w:pict w14:anchorId="4F2EA211">
          <v:rect id="_x0000_i1067" style="width:0;height:.75pt" o:hralign="center" o:hrstd="t" o:hr="t" fillcolor="#a0a0a0" stroked="f"/>
        </w:pict>
      </w:r>
    </w:p>
    <w:p w14:paraId="14A1C1EA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1. Overview of Deregulation in Ghana</w:t>
      </w:r>
    </w:p>
    <w:p w14:paraId="1C98F052" w14:textId="77777777" w:rsidR="00703991" w:rsidRPr="00703991" w:rsidRDefault="00703991" w:rsidP="00703991">
      <w:r w:rsidRPr="00703991">
        <w:t>Ghana transitioned to a </w:t>
      </w:r>
      <w:r w:rsidRPr="00703991">
        <w:rPr>
          <w:b/>
          <w:bCs/>
        </w:rPr>
        <w:t>deregulated petroleum sector</w:t>
      </w:r>
      <w:r w:rsidRPr="00703991">
        <w:t> in 2015, adopting a </w:t>
      </w:r>
      <w:r w:rsidRPr="00703991">
        <w:rPr>
          <w:b/>
          <w:bCs/>
        </w:rPr>
        <w:t>price liberalization policy</w:t>
      </w:r>
      <w:r w:rsidRPr="00703991">
        <w:t> where fuel prices are adjusted bi-weekly based on global crude oil prices, exchange rates, and taxes. The National Petroleum Authority (NPA) oversees this system, replacing fixed subsidies with a </w:t>
      </w:r>
      <w:r w:rsidRPr="00703991">
        <w:rPr>
          <w:b/>
          <w:bCs/>
        </w:rPr>
        <w:t>Price Stabilization and Recovery Levy</w:t>
      </w:r>
      <w:r w:rsidRPr="00703991">
        <w:t> to cushion extreme price fluctuations.</w:t>
      </w:r>
    </w:p>
    <w:p w14:paraId="32484A1D" w14:textId="77777777" w:rsidR="00703991" w:rsidRPr="00703991" w:rsidRDefault="00703991" w:rsidP="00703991">
      <w:r w:rsidRPr="00703991">
        <w:pict w14:anchorId="4B0C53A5">
          <v:rect id="_x0000_i1068" style="width:0;height:.75pt" o:hralign="center" o:hrstd="t" o:hr="t" fillcolor="#a0a0a0" stroked="f"/>
        </w:pict>
      </w:r>
    </w:p>
    <w:p w14:paraId="1A500996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2. Pros of Deregulation</w:t>
      </w:r>
    </w:p>
    <w:p w14:paraId="0B8C8B2C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a. Fiscal Sustainability</w:t>
      </w:r>
    </w:p>
    <w:p w14:paraId="29C3DBFF" w14:textId="77777777" w:rsidR="00703991" w:rsidRPr="00703991" w:rsidRDefault="00703991" w:rsidP="00703991">
      <w:pPr>
        <w:numPr>
          <w:ilvl w:val="0"/>
          <w:numId w:val="1"/>
        </w:numPr>
      </w:pPr>
      <w:r w:rsidRPr="00703991">
        <w:rPr>
          <w:b/>
          <w:bCs/>
        </w:rPr>
        <w:t>Reduced Subsidy Burden</w:t>
      </w:r>
      <w:r w:rsidRPr="00703991">
        <w:t>: Eliminating fuel subsidies freed government funds for critical sectors like education, healthcare, and infrastructure.</w:t>
      </w:r>
    </w:p>
    <w:p w14:paraId="59DB8447" w14:textId="77777777" w:rsidR="00703991" w:rsidRPr="00703991" w:rsidRDefault="00703991" w:rsidP="00703991">
      <w:pPr>
        <w:numPr>
          <w:ilvl w:val="0"/>
          <w:numId w:val="1"/>
        </w:numPr>
      </w:pPr>
      <w:r w:rsidRPr="00703991">
        <w:rPr>
          <w:b/>
          <w:bCs/>
        </w:rPr>
        <w:t>Debt Reduction</w:t>
      </w:r>
      <w:r w:rsidRPr="00703991">
        <w:t>: Savings helped address fiscal deficits and stabilize public debt.</w:t>
      </w:r>
    </w:p>
    <w:p w14:paraId="556E6BF0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b. Market Efficiency and Competition</w:t>
      </w:r>
    </w:p>
    <w:p w14:paraId="082FAF5B" w14:textId="77777777" w:rsidR="00703991" w:rsidRPr="00703991" w:rsidRDefault="00703991" w:rsidP="00703991">
      <w:pPr>
        <w:numPr>
          <w:ilvl w:val="0"/>
          <w:numId w:val="2"/>
        </w:numPr>
      </w:pPr>
      <w:r w:rsidRPr="00703991">
        <w:rPr>
          <w:b/>
          <w:bCs/>
        </w:rPr>
        <w:t>Competitive Pricing</w:t>
      </w:r>
      <w:r w:rsidRPr="00703991">
        <w:t>: Market-driven prices incentivize oil marketing companies (OMCs) to compete, potentially lowering costs and improving service quality.</w:t>
      </w:r>
    </w:p>
    <w:p w14:paraId="2866EF61" w14:textId="77777777" w:rsidR="00703991" w:rsidRPr="00703991" w:rsidRDefault="00703991" w:rsidP="00703991">
      <w:pPr>
        <w:numPr>
          <w:ilvl w:val="0"/>
          <w:numId w:val="2"/>
        </w:numPr>
      </w:pPr>
      <w:r w:rsidRPr="00703991">
        <w:rPr>
          <w:b/>
          <w:bCs/>
        </w:rPr>
        <w:t>Private Investment</w:t>
      </w:r>
      <w:r w:rsidRPr="00703991">
        <w:t>: Attracted foreign and domestic investors due to transparency and reduced state interference (e.g., increased participation in downstream activities).</w:t>
      </w:r>
    </w:p>
    <w:p w14:paraId="0FFA345B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c. Reduced Cross-Border Smuggling</w:t>
      </w:r>
    </w:p>
    <w:p w14:paraId="0CB751EA" w14:textId="77777777" w:rsidR="00703991" w:rsidRPr="00703991" w:rsidRDefault="00703991" w:rsidP="00703991">
      <w:pPr>
        <w:numPr>
          <w:ilvl w:val="0"/>
          <w:numId w:val="3"/>
        </w:numPr>
      </w:pPr>
      <w:r w:rsidRPr="00703991">
        <w:t>Aligning prices with neighboring countries (e.g., Togo, Côte d’Ivoire) reduced arbitrage opportunities for smugglers.</w:t>
      </w:r>
    </w:p>
    <w:p w14:paraId="6FCE4317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d. Transparency and Accountability</w:t>
      </w:r>
    </w:p>
    <w:p w14:paraId="56F0B553" w14:textId="77777777" w:rsidR="00703991" w:rsidRPr="00703991" w:rsidRDefault="00703991" w:rsidP="00703991">
      <w:pPr>
        <w:numPr>
          <w:ilvl w:val="0"/>
          <w:numId w:val="4"/>
        </w:numPr>
      </w:pPr>
      <w:r w:rsidRPr="00703991">
        <w:t>Bi-weekly price adjustments based on a formula reduced opportunities for corruption in subsidy management.</w:t>
      </w:r>
    </w:p>
    <w:p w14:paraId="6B69279D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e. Long-Term Economic Growth</w:t>
      </w:r>
    </w:p>
    <w:p w14:paraId="3C21928B" w14:textId="77777777" w:rsidR="00703991" w:rsidRPr="00703991" w:rsidRDefault="00703991" w:rsidP="00703991">
      <w:pPr>
        <w:numPr>
          <w:ilvl w:val="0"/>
          <w:numId w:val="5"/>
        </w:numPr>
      </w:pPr>
      <w:r w:rsidRPr="00703991">
        <w:t>Deregulation encourages innovation and infrastructure upgrades (e.g., storage facilities, retail networks).</w:t>
      </w:r>
    </w:p>
    <w:p w14:paraId="6EFFB689" w14:textId="77777777" w:rsidR="00703991" w:rsidRPr="00703991" w:rsidRDefault="00703991" w:rsidP="00703991">
      <w:r w:rsidRPr="00703991">
        <w:pict w14:anchorId="32F1C93E">
          <v:rect id="_x0000_i1069" style="width:0;height:.75pt" o:hralign="center" o:hrstd="t" o:hr="t" fillcolor="#a0a0a0" stroked="f"/>
        </w:pict>
      </w:r>
    </w:p>
    <w:p w14:paraId="630A9004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3. Cons of Deregulation</w:t>
      </w:r>
    </w:p>
    <w:p w14:paraId="2743D92C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a. Price Volatility and Inflation</w:t>
      </w:r>
    </w:p>
    <w:p w14:paraId="70EF4027" w14:textId="77777777" w:rsidR="00703991" w:rsidRPr="00703991" w:rsidRDefault="00703991" w:rsidP="00703991">
      <w:pPr>
        <w:numPr>
          <w:ilvl w:val="0"/>
          <w:numId w:val="6"/>
        </w:numPr>
      </w:pPr>
      <w:r w:rsidRPr="00703991">
        <w:rPr>
          <w:b/>
          <w:bCs/>
        </w:rPr>
        <w:lastRenderedPageBreak/>
        <w:t>Consumer Impact</w:t>
      </w:r>
      <w:r w:rsidRPr="00703991">
        <w:t>: Fuel prices fluctuate with global markets, causing uncertainty for households and businesses.</w:t>
      </w:r>
    </w:p>
    <w:p w14:paraId="257D09D6" w14:textId="77777777" w:rsidR="00703991" w:rsidRPr="00703991" w:rsidRDefault="00703991" w:rsidP="00703991">
      <w:pPr>
        <w:numPr>
          <w:ilvl w:val="0"/>
          <w:numId w:val="6"/>
        </w:numPr>
      </w:pPr>
      <w:r w:rsidRPr="00703991">
        <w:rPr>
          <w:b/>
          <w:bCs/>
        </w:rPr>
        <w:t>Inflationary Pressures</w:t>
      </w:r>
      <w:r w:rsidRPr="00703991">
        <w:t>: Rising transport costs increase prices of goods and services, disproportionately affecting low-income groups.</w:t>
      </w:r>
    </w:p>
    <w:p w14:paraId="48EF1F59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b. Social Unrest</w:t>
      </w:r>
    </w:p>
    <w:p w14:paraId="1892738C" w14:textId="77777777" w:rsidR="00703991" w:rsidRPr="00703991" w:rsidRDefault="00703991" w:rsidP="00703991">
      <w:pPr>
        <w:numPr>
          <w:ilvl w:val="0"/>
          <w:numId w:val="7"/>
        </w:numPr>
      </w:pPr>
      <w:r w:rsidRPr="00703991">
        <w:t>Public dissatisfaction over sudden price hikes (e.g., 2022 protests over a 50% fuel price increase).</w:t>
      </w:r>
    </w:p>
    <w:p w14:paraId="45679002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c. Risk of Market Exploitation</w:t>
      </w:r>
    </w:p>
    <w:p w14:paraId="310C87E0" w14:textId="77777777" w:rsidR="00703991" w:rsidRPr="00703991" w:rsidRDefault="00703991" w:rsidP="00703991">
      <w:pPr>
        <w:numPr>
          <w:ilvl w:val="0"/>
          <w:numId w:val="8"/>
        </w:numPr>
      </w:pPr>
      <w:r w:rsidRPr="00703991">
        <w:rPr>
          <w:b/>
          <w:bCs/>
        </w:rPr>
        <w:t>Collusion and Monopolies</w:t>
      </w:r>
      <w:r w:rsidRPr="00703991">
        <w:t>: Dominant OMCs might manipulate prices in the absence of strict antitrust regulations.</w:t>
      </w:r>
    </w:p>
    <w:p w14:paraId="48C56C79" w14:textId="77777777" w:rsidR="00703991" w:rsidRPr="00703991" w:rsidRDefault="00703991" w:rsidP="00703991">
      <w:pPr>
        <w:numPr>
          <w:ilvl w:val="0"/>
          <w:numId w:val="8"/>
        </w:numPr>
      </w:pPr>
      <w:r w:rsidRPr="00703991">
        <w:rPr>
          <w:b/>
          <w:bCs/>
        </w:rPr>
        <w:t>Regional Disparities</w:t>
      </w:r>
      <w:r w:rsidRPr="00703991">
        <w:t>: Rural areas may face supply shortages if OMCs prioritize profitable urban markets.</w:t>
      </w:r>
    </w:p>
    <w:p w14:paraId="58DF3E77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d. Environmental Concerns</w:t>
      </w:r>
    </w:p>
    <w:p w14:paraId="076C3346" w14:textId="77777777" w:rsidR="00703991" w:rsidRPr="00703991" w:rsidRDefault="00703991" w:rsidP="00703991">
      <w:pPr>
        <w:numPr>
          <w:ilvl w:val="0"/>
          <w:numId w:val="9"/>
        </w:numPr>
      </w:pPr>
      <w:r w:rsidRPr="00703991">
        <w:t>Deregulation may weaken environmental safeguards as companies cut costs, risking spills or lax safety practices.</w:t>
      </w:r>
    </w:p>
    <w:p w14:paraId="5CF7C850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e. Reduced Government Control</w:t>
      </w:r>
    </w:p>
    <w:p w14:paraId="28CC94A2" w14:textId="77777777" w:rsidR="00703991" w:rsidRPr="00703991" w:rsidRDefault="00703991" w:rsidP="00703991">
      <w:pPr>
        <w:numPr>
          <w:ilvl w:val="0"/>
          <w:numId w:val="10"/>
        </w:numPr>
      </w:pPr>
      <w:r w:rsidRPr="00703991">
        <w:t>Limited ability to intervene during crises (e.g., global oil shocks like the 2020 COVID-19 downturn).</w:t>
      </w:r>
    </w:p>
    <w:p w14:paraId="4B6ED016" w14:textId="77777777" w:rsidR="00703991" w:rsidRPr="00703991" w:rsidRDefault="00703991" w:rsidP="00703991">
      <w:r w:rsidRPr="00703991">
        <w:pict w14:anchorId="00C2235F">
          <v:rect id="_x0000_i1070" style="width:0;height:.75pt" o:hralign="center" o:hrstd="t" o:hr="t" fillcolor="#a0a0a0" stroked="f"/>
        </w:pict>
      </w:r>
    </w:p>
    <w:p w14:paraId="7531AF89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4. Case Study: Ghana’s Post-Deregulation Experience</w:t>
      </w:r>
    </w:p>
    <w:p w14:paraId="0E2808EB" w14:textId="77777777" w:rsidR="00703991" w:rsidRPr="00703991" w:rsidRDefault="00703991" w:rsidP="00703991">
      <w:pPr>
        <w:numPr>
          <w:ilvl w:val="0"/>
          <w:numId w:val="11"/>
        </w:numPr>
      </w:pPr>
      <w:r w:rsidRPr="00703991">
        <w:rPr>
          <w:b/>
          <w:bCs/>
        </w:rPr>
        <w:t>Positive Outcomes</w:t>
      </w:r>
      <w:r w:rsidRPr="00703991">
        <w:t>:</w:t>
      </w:r>
    </w:p>
    <w:p w14:paraId="30EAD373" w14:textId="77777777" w:rsidR="00703991" w:rsidRPr="00703991" w:rsidRDefault="00703991" w:rsidP="00703991">
      <w:pPr>
        <w:numPr>
          <w:ilvl w:val="1"/>
          <w:numId w:val="11"/>
        </w:numPr>
      </w:pPr>
      <w:r w:rsidRPr="00703991">
        <w:t>Subsidy savings funded the Free SHS education program.</w:t>
      </w:r>
    </w:p>
    <w:p w14:paraId="3BBE9F78" w14:textId="77777777" w:rsidR="00703991" w:rsidRPr="00703991" w:rsidRDefault="00703991" w:rsidP="00703991">
      <w:pPr>
        <w:numPr>
          <w:ilvl w:val="1"/>
          <w:numId w:val="11"/>
        </w:numPr>
      </w:pPr>
      <w:r w:rsidRPr="00703991">
        <w:t>Increased private investment in liquefied petroleum gas (LPG) infrastructure.</w:t>
      </w:r>
    </w:p>
    <w:p w14:paraId="1AF89D61" w14:textId="77777777" w:rsidR="00703991" w:rsidRPr="00703991" w:rsidRDefault="00703991" w:rsidP="00703991">
      <w:pPr>
        <w:numPr>
          <w:ilvl w:val="0"/>
          <w:numId w:val="11"/>
        </w:numPr>
      </w:pPr>
      <w:r w:rsidRPr="00703991">
        <w:rPr>
          <w:b/>
          <w:bCs/>
        </w:rPr>
        <w:t>Challenges</w:t>
      </w:r>
      <w:r w:rsidRPr="00703991">
        <w:t>:</w:t>
      </w:r>
    </w:p>
    <w:p w14:paraId="4EBA6376" w14:textId="77777777" w:rsidR="00703991" w:rsidRPr="00703991" w:rsidRDefault="00703991" w:rsidP="00703991">
      <w:pPr>
        <w:numPr>
          <w:ilvl w:val="1"/>
          <w:numId w:val="11"/>
        </w:numPr>
      </w:pPr>
      <w:r w:rsidRPr="00703991">
        <w:t>Fuel prices rose by over 100% between 2017 and 2023, contributing to inflation (54% in December 2022).</w:t>
      </w:r>
    </w:p>
    <w:p w14:paraId="5F867BCF" w14:textId="77777777" w:rsidR="00703991" w:rsidRPr="00703991" w:rsidRDefault="00703991" w:rsidP="00703991">
      <w:pPr>
        <w:numPr>
          <w:ilvl w:val="1"/>
          <w:numId w:val="11"/>
        </w:numPr>
      </w:pPr>
      <w:r w:rsidRPr="00703991">
        <w:t>Public skepticism persists due to perceived inequities in price adjustments.</w:t>
      </w:r>
    </w:p>
    <w:p w14:paraId="45489B27" w14:textId="77777777" w:rsidR="00703991" w:rsidRPr="00703991" w:rsidRDefault="00703991" w:rsidP="00703991">
      <w:r w:rsidRPr="00703991">
        <w:pict w14:anchorId="32D3B0CE">
          <v:rect id="_x0000_i1071" style="width:0;height:.75pt" o:hralign="center" o:hrstd="t" o:hr="t" fillcolor="#a0a0a0" stroked="f"/>
        </w:pict>
      </w:r>
    </w:p>
    <w:p w14:paraId="0D74F0AD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5. Recommendations for Mitigation</w:t>
      </w:r>
    </w:p>
    <w:p w14:paraId="5A41D797" w14:textId="77777777" w:rsidR="00703991" w:rsidRPr="00703991" w:rsidRDefault="00703991" w:rsidP="00703991">
      <w:pPr>
        <w:numPr>
          <w:ilvl w:val="0"/>
          <w:numId w:val="12"/>
        </w:numPr>
      </w:pPr>
      <w:r w:rsidRPr="00703991">
        <w:rPr>
          <w:b/>
          <w:bCs/>
        </w:rPr>
        <w:t>Social Safety Nets</w:t>
      </w:r>
      <w:r w:rsidRPr="00703991">
        <w:t>: Direct cash transfers or targeted subsidies for vulnerable groups.</w:t>
      </w:r>
    </w:p>
    <w:p w14:paraId="2AF8A548" w14:textId="77777777" w:rsidR="00703991" w:rsidRPr="00703991" w:rsidRDefault="00703991" w:rsidP="00703991">
      <w:pPr>
        <w:numPr>
          <w:ilvl w:val="0"/>
          <w:numId w:val="12"/>
        </w:numPr>
      </w:pPr>
      <w:r w:rsidRPr="00703991">
        <w:rPr>
          <w:b/>
          <w:bCs/>
        </w:rPr>
        <w:t>Anti-Trust Measures</w:t>
      </w:r>
      <w:r w:rsidRPr="00703991">
        <w:t>: Strengthen NPA oversight to prevent collusion and price-fixing.</w:t>
      </w:r>
    </w:p>
    <w:p w14:paraId="1FE98470" w14:textId="77777777" w:rsidR="00703991" w:rsidRPr="00703991" w:rsidRDefault="00703991" w:rsidP="00703991">
      <w:pPr>
        <w:numPr>
          <w:ilvl w:val="0"/>
          <w:numId w:val="12"/>
        </w:numPr>
      </w:pPr>
      <w:r w:rsidRPr="00703991">
        <w:rPr>
          <w:b/>
          <w:bCs/>
        </w:rPr>
        <w:t>Stabilization Fund</w:t>
      </w:r>
      <w:r w:rsidRPr="00703991">
        <w:t>: Expand the Price Stabilization Levy to buffer severe global price swings.</w:t>
      </w:r>
    </w:p>
    <w:p w14:paraId="5C8A88E3" w14:textId="77777777" w:rsidR="00703991" w:rsidRPr="00703991" w:rsidRDefault="00703991" w:rsidP="00703991">
      <w:pPr>
        <w:numPr>
          <w:ilvl w:val="0"/>
          <w:numId w:val="12"/>
        </w:numPr>
      </w:pPr>
      <w:r w:rsidRPr="00703991">
        <w:rPr>
          <w:b/>
          <w:bCs/>
        </w:rPr>
        <w:lastRenderedPageBreak/>
        <w:t>Rural Incentives</w:t>
      </w:r>
      <w:r w:rsidRPr="00703991">
        <w:t>: Tax breaks for OMCs operating in underserved regions.</w:t>
      </w:r>
    </w:p>
    <w:p w14:paraId="49B26240" w14:textId="77777777" w:rsidR="00703991" w:rsidRPr="00703991" w:rsidRDefault="00703991" w:rsidP="00703991">
      <w:pPr>
        <w:numPr>
          <w:ilvl w:val="0"/>
          <w:numId w:val="12"/>
        </w:numPr>
      </w:pPr>
      <w:r w:rsidRPr="00703991">
        <w:rPr>
          <w:b/>
          <w:bCs/>
        </w:rPr>
        <w:t>Environmental Regulations</w:t>
      </w:r>
      <w:r w:rsidRPr="00703991">
        <w:t>: Enforce stricter penalties for non-compliance with safety standards.</w:t>
      </w:r>
    </w:p>
    <w:p w14:paraId="5B701FC5" w14:textId="77777777" w:rsidR="00703991" w:rsidRPr="00703991" w:rsidRDefault="00703991" w:rsidP="00703991">
      <w:r w:rsidRPr="00703991">
        <w:pict w14:anchorId="7E3298A3">
          <v:rect id="_x0000_i1072" style="width:0;height:.75pt" o:hralign="center" o:hrstd="t" o:hr="t" fillcolor="#a0a0a0" stroked="f"/>
        </w:pict>
      </w:r>
    </w:p>
    <w:p w14:paraId="777F9F55" w14:textId="77777777" w:rsidR="00703991" w:rsidRPr="00703991" w:rsidRDefault="00703991" w:rsidP="00703991">
      <w:pPr>
        <w:rPr>
          <w:b/>
          <w:bCs/>
        </w:rPr>
      </w:pPr>
      <w:r w:rsidRPr="00703991">
        <w:rPr>
          <w:b/>
          <w:bCs/>
        </w:rPr>
        <w:t>6. Conclusion</w:t>
      </w:r>
    </w:p>
    <w:p w14:paraId="761066C1" w14:textId="77777777" w:rsidR="00703991" w:rsidRPr="00703991" w:rsidRDefault="00703991" w:rsidP="00703991">
      <w:r w:rsidRPr="00703991">
        <w:t>Ghana’s petroleum deregulation has enhanced fiscal health and market efficiency but risks exacerbating inequality and inflation. A balanced approach—combining market freedom with robust safeguards—is critical to maximizing benefits while protecting citizens and the environment.</w:t>
      </w:r>
    </w:p>
    <w:p w14:paraId="6E42E316" w14:textId="77777777" w:rsidR="00703991" w:rsidRPr="00703991" w:rsidRDefault="00703991" w:rsidP="00703991">
      <w:r w:rsidRPr="00703991">
        <w:pict w14:anchorId="7616ADB2">
          <v:rect id="_x0000_i1073" style="width:0;height:.75pt" o:hralign="center" o:hrstd="t" o:hr="t" fillcolor="#a0a0a0" stroked="f"/>
        </w:pict>
      </w:r>
    </w:p>
    <w:p w14:paraId="170EAF44" w14:textId="77777777" w:rsidR="00703991" w:rsidRPr="00703991" w:rsidRDefault="00703991" w:rsidP="00703991">
      <w:r w:rsidRPr="00703991">
        <w:rPr>
          <w:b/>
          <w:bCs/>
        </w:rPr>
        <w:t>Presentation Tips for Your Group Project</w:t>
      </w:r>
      <w:r w:rsidRPr="00703991">
        <w:t>:</w:t>
      </w:r>
    </w:p>
    <w:p w14:paraId="29668950" w14:textId="77777777" w:rsidR="00703991" w:rsidRPr="00703991" w:rsidRDefault="00703991" w:rsidP="00703991">
      <w:pPr>
        <w:numPr>
          <w:ilvl w:val="0"/>
          <w:numId w:val="13"/>
        </w:numPr>
      </w:pPr>
      <w:r w:rsidRPr="00703991">
        <w:t>Use graphs to show trends in fuel prices, subsidy costs, and inflation pre/post-2015.</w:t>
      </w:r>
    </w:p>
    <w:p w14:paraId="5DAE9216" w14:textId="77777777" w:rsidR="00703991" w:rsidRPr="00703991" w:rsidRDefault="00703991" w:rsidP="00703991">
      <w:pPr>
        <w:numPr>
          <w:ilvl w:val="0"/>
          <w:numId w:val="13"/>
        </w:numPr>
      </w:pPr>
      <w:r w:rsidRPr="00703991">
        <w:t>Compare Ghana’s model with Nigeria (regulated) and Kenya (deregulated).</w:t>
      </w:r>
    </w:p>
    <w:p w14:paraId="0D272F89" w14:textId="77777777" w:rsidR="00703991" w:rsidRPr="00703991" w:rsidRDefault="00703991" w:rsidP="00703991">
      <w:pPr>
        <w:numPr>
          <w:ilvl w:val="0"/>
          <w:numId w:val="13"/>
        </w:numPr>
      </w:pPr>
      <w:r w:rsidRPr="00703991">
        <w:t>Include stakeholder perspectives (government, OMCs, consumers).</w:t>
      </w:r>
    </w:p>
    <w:p w14:paraId="33575092" w14:textId="77777777" w:rsidR="00703991" w:rsidRPr="00703991" w:rsidRDefault="00703991" w:rsidP="00703991">
      <w:pPr>
        <w:numPr>
          <w:ilvl w:val="0"/>
          <w:numId w:val="13"/>
        </w:numPr>
      </w:pPr>
      <w:r w:rsidRPr="00703991">
        <w:t>Highlight recent policy adjustments (e.g., the 2022 Energy Sector Recovery Levy).</w:t>
      </w:r>
    </w:p>
    <w:p w14:paraId="37BAB48D" w14:textId="77777777" w:rsidR="00703991" w:rsidRPr="00703991" w:rsidRDefault="00703991" w:rsidP="00703991">
      <w:r w:rsidRPr="00703991">
        <w:t xml:space="preserve">Let me know if you need help refining specific sections or sourcing data! </w:t>
      </w:r>
      <w:r w:rsidRPr="00703991">
        <w:rPr>
          <w:rFonts w:ascii="Segoe UI Emoji" w:hAnsi="Segoe UI Emoji" w:cs="Segoe UI Emoji"/>
        </w:rPr>
        <w:t>📊</w:t>
      </w:r>
    </w:p>
    <w:p w14:paraId="0949F111" w14:textId="77777777" w:rsidR="0059208D" w:rsidRDefault="0059208D"/>
    <w:sectPr w:rsidR="0059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B0ED7"/>
    <w:multiLevelType w:val="multilevel"/>
    <w:tmpl w:val="10F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F7289"/>
    <w:multiLevelType w:val="multilevel"/>
    <w:tmpl w:val="9E3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D041E"/>
    <w:multiLevelType w:val="multilevel"/>
    <w:tmpl w:val="42A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458F0"/>
    <w:multiLevelType w:val="multilevel"/>
    <w:tmpl w:val="78B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43A22"/>
    <w:multiLevelType w:val="multilevel"/>
    <w:tmpl w:val="BF3E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36E5F"/>
    <w:multiLevelType w:val="multilevel"/>
    <w:tmpl w:val="E87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97F72"/>
    <w:multiLevelType w:val="multilevel"/>
    <w:tmpl w:val="0C8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A3133"/>
    <w:multiLevelType w:val="multilevel"/>
    <w:tmpl w:val="54C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65CD5"/>
    <w:multiLevelType w:val="multilevel"/>
    <w:tmpl w:val="43E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9086E"/>
    <w:multiLevelType w:val="multilevel"/>
    <w:tmpl w:val="257A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A59AE"/>
    <w:multiLevelType w:val="multilevel"/>
    <w:tmpl w:val="7B3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879FA"/>
    <w:multiLevelType w:val="multilevel"/>
    <w:tmpl w:val="595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51CEE"/>
    <w:multiLevelType w:val="multilevel"/>
    <w:tmpl w:val="21B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211737">
    <w:abstractNumId w:val="2"/>
  </w:num>
  <w:num w:numId="2" w16cid:durableId="1450393312">
    <w:abstractNumId w:val="5"/>
  </w:num>
  <w:num w:numId="3" w16cid:durableId="1525940692">
    <w:abstractNumId w:val="9"/>
  </w:num>
  <w:num w:numId="4" w16cid:durableId="1611550940">
    <w:abstractNumId w:val="3"/>
  </w:num>
  <w:num w:numId="5" w16cid:durableId="1624268993">
    <w:abstractNumId w:val="8"/>
  </w:num>
  <w:num w:numId="6" w16cid:durableId="2000381354">
    <w:abstractNumId w:val="0"/>
  </w:num>
  <w:num w:numId="7" w16cid:durableId="1638607496">
    <w:abstractNumId w:val="12"/>
  </w:num>
  <w:num w:numId="8" w16cid:durableId="1500148453">
    <w:abstractNumId w:val="10"/>
  </w:num>
  <w:num w:numId="9" w16cid:durableId="850528221">
    <w:abstractNumId w:val="11"/>
  </w:num>
  <w:num w:numId="10" w16cid:durableId="1685596543">
    <w:abstractNumId w:val="6"/>
  </w:num>
  <w:num w:numId="11" w16cid:durableId="601108474">
    <w:abstractNumId w:val="1"/>
  </w:num>
  <w:num w:numId="12" w16cid:durableId="1869485883">
    <w:abstractNumId w:val="4"/>
  </w:num>
  <w:num w:numId="13" w16cid:durableId="232548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91"/>
    <w:rsid w:val="002117B3"/>
    <w:rsid w:val="003362BB"/>
    <w:rsid w:val="0059208D"/>
    <w:rsid w:val="00703991"/>
    <w:rsid w:val="00C05F9A"/>
    <w:rsid w:val="00DC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A55F"/>
  <w15:chartTrackingRefBased/>
  <w15:docId w15:val="{D44116E1-B947-4392-A802-9B90EDC4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0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Danyal</dc:creator>
  <cp:keywords/>
  <dc:description/>
  <cp:lastModifiedBy>Hamza Danyal</cp:lastModifiedBy>
  <cp:revision>1</cp:revision>
  <dcterms:created xsi:type="dcterms:W3CDTF">2025-03-08T10:08:00Z</dcterms:created>
  <dcterms:modified xsi:type="dcterms:W3CDTF">2025-03-08T10:11:00Z</dcterms:modified>
</cp:coreProperties>
</file>