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>
          <w:lang w:val="en-US"/>
        </w:rPr>
      </w:pPr>
      <w:r>
        <w:rPr>
          <w:lang w:val="en-US"/>
        </w:rPr>
        <w:t>DARIAH Collection Description Data Model (DCDDM)</w:t>
      </w:r>
    </w:p>
    <w:p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Normal"/>
        <w:rPr/>
      </w:pPr>
      <w:r>
        <w:rPr/>
        <w:t xml:space="preserve">The DARIAH Collection Description Data Model (DCDDM) </w:t>
      </w:r>
      <w:r>
        <w:rPr/>
        <w:t xml:space="preserve">specifies a fixed number of classes, elements, attributes and values used for describing collections. Collection description based on the DCDDM are meant to be equally human and machine readable. </w:t>
      </w:r>
    </w:p>
    <w:p>
      <w:pPr>
        <w:pStyle w:val="Normal"/>
        <w:rPr/>
      </w:pPr>
      <w:r>
        <w:rPr/>
        <w:t xml:space="preserve">The </w:t>
      </w:r>
      <w:r>
        <w:rPr/>
        <w:t xml:space="preserve">DCDDM relies heavily on the Dublin Core Collections Application Profile </w:t>
      </w:r>
      <w:r>
        <w:rPr/>
        <w:t xml:space="preserve">(DCCAP) and makes extensive use of the concepts, elements and properties defined in the several Dublin Core namespaces. </w:t>
      </w:r>
    </w:p>
    <w:p>
      <w:pPr>
        <w:pStyle w:val="Normal"/>
        <w:rPr/>
      </w:pPr>
      <w:r>
        <w:rPr/>
        <w:t xml:space="preserve">A collection is understood as “an aggregation of </w:t>
      </w:r>
      <w:r>
        <w:rPr>
          <w:color w:val="000000"/>
        </w:rPr>
        <w:t>resources”</w:t>
      </w:r>
      <w:r>
        <w:rPr>
          <w:rStyle w:val="Funotenanker"/>
          <w:color w:val="000000"/>
        </w:rPr>
        <w:footnoteReference w:id="2"/>
      </w:r>
      <w:r>
        <w:rPr>
          <w:color w:val="000000"/>
        </w:rPr>
        <w:t xml:space="preserve"> </w:t>
      </w:r>
      <w:r>
        <w:rPr>
          <w:color w:val="000000"/>
        </w:rPr>
        <w:t xml:space="preserve">and is the main entity (or class) of the DCDDM. This means that each instance of DCDDM must contain at least one collection or </w:t>
      </w:r>
      <w:r>
        <w:rPr>
          <w:b/>
          <w:bCs/>
          <w:color w:val="000000"/>
        </w:rPr>
        <w:t>dcddm:COLLECTION</w:t>
      </w:r>
      <w:r>
        <w:rPr>
          <w:color w:val="000000"/>
        </w:rPr>
        <w:t xml:space="preserve">. Other first class entities are </w:t>
      </w:r>
      <w:r>
        <w:rPr>
          <w:b/>
          <w:bCs/>
          <w:color w:val="000000"/>
        </w:rPr>
        <w:t>dcddm:AGENT</w:t>
      </w:r>
      <w:r>
        <w:rPr>
          <w:color w:val="000000"/>
        </w:rPr>
        <w:t xml:space="preserve"> </w:t>
      </w:r>
      <w:r>
        <w:rPr>
          <w:color w:val="000000"/>
        </w:rPr>
        <w:t>(“A resource that acts or has the power to act.”)</w:t>
      </w:r>
      <w:r>
        <w:rPr>
          <w:color w:val="000000"/>
        </w:rPr>
        <w:t>,</w:t>
      </w:r>
      <w:r>
        <w:rPr>
          <w:rStyle w:val="Funotenanker"/>
          <w:color w:val="000000"/>
        </w:rPr>
        <w:footnoteReference w:id="3"/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dcddm:LOCATION</w:t>
      </w:r>
      <w:r>
        <w:rPr>
          <w:color w:val="000000"/>
        </w:rPr>
        <w:t xml:space="preserve"> </w:t>
      </w:r>
      <w:r>
        <w:rPr>
          <w:color w:val="000000"/>
        </w:rPr>
        <w:t>(“A spatial region or named place.”)</w:t>
      </w:r>
      <w:r>
        <w:rPr>
          <w:rStyle w:val="Funotenanker"/>
          <w:color w:val="000000"/>
        </w:rPr>
        <w:footnoteReference w:id="4"/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dcddm:SERVICE</w:t>
      </w:r>
      <w:r>
        <w:rPr>
          <w:color w:val="000000"/>
        </w:rPr>
        <w:t xml:space="preserve"> </w:t>
      </w:r>
      <w:r>
        <w:rPr>
          <w:color w:val="000000"/>
        </w:rPr>
        <w:t>(“A system that provides one or more functions.”)</w:t>
      </w:r>
      <w:r>
        <w:rPr>
          <w:color w:val="000000"/>
        </w:rPr>
        <w:t>.</w:t>
      </w:r>
      <w:r>
        <w:rPr>
          <w:rStyle w:val="Funotenanker"/>
          <w:color w:val="000000"/>
        </w:rPr>
        <w:footnoteReference w:id="5"/>
      </w:r>
      <w:r>
        <w:rPr>
          <w:color w:val="000000"/>
        </w:rPr>
        <w:t xml:space="preserve"> The usage of those latter classes is not mandatory but recommended. </w:t>
      </w:r>
    </w:p>
    <w:p>
      <w:pPr>
        <w:pStyle w:val="Normal"/>
        <w:rPr/>
      </w:pPr>
      <w:r>
        <w:rPr>
          <w:color w:val="000000"/>
        </w:rPr>
        <w:t xml:space="preserve">The DCDDM allows following relations between those entities: </w:t>
      </w:r>
      <w:r>
        <w:rPr>
          <w:color w:val="000000"/>
        </w:rPr>
        <w:t xml:space="preserve">A dcddm:COLLECTION can </w:t>
      </w:r>
      <w:r>
        <w:rPr>
          <w:b/>
          <w:bCs/>
          <w:color w:val="000000"/>
        </w:rPr>
        <w:t xml:space="preserve">be part </w:t>
      </w:r>
      <w:r>
        <w:rPr>
          <w:b w:val="false"/>
          <w:bCs w:val="false"/>
          <w:color w:val="000000"/>
        </w:rPr>
        <w:t xml:space="preserve">of </w:t>
      </w:r>
      <w:r>
        <w:rPr>
          <w:color w:val="000000"/>
        </w:rPr>
        <w:t xml:space="preserve">one ore many other collections as well as a dcddm:COLLECTION </w:t>
      </w:r>
      <w:r>
        <w:rPr>
          <w:color w:val="000000"/>
        </w:rPr>
        <w:t xml:space="preserve">can </w:t>
      </w:r>
      <w:r>
        <w:rPr>
          <w:b/>
          <w:bCs/>
          <w:color w:val="000000"/>
        </w:rPr>
        <w:t>contain</w:t>
      </w:r>
      <w:r>
        <w:rPr>
          <w:color w:val="000000"/>
        </w:rPr>
        <w:t xml:space="preserve"> one ore more Collections. A dcddm:COLLECTION can be </w:t>
      </w:r>
      <w:r>
        <w:rPr>
          <w:b/>
          <w:bCs/>
          <w:color w:val="000000"/>
        </w:rPr>
        <w:t>owned</w:t>
      </w:r>
      <w:r>
        <w:rPr>
          <w:color w:val="000000"/>
        </w:rPr>
        <w:t xml:space="preserve"> and/or </w:t>
      </w:r>
      <w:r>
        <w:rPr>
          <w:b/>
          <w:bCs/>
          <w:color w:val="000000"/>
        </w:rPr>
        <w:t>created</w:t>
      </w:r>
      <w:r>
        <w:rPr>
          <w:color w:val="000000"/>
        </w:rPr>
        <w:t xml:space="preserve"> by one ore more dcddm:AGENTs. A dccdm:AGENT can also </w:t>
      </w:r>
      <w:r>
        <w:rPr>
          <w:b/>
          <w:bCs/>
          <w:color w:val="000000"/>
        </w:rPr>
        <w:t>administer</w:t>
      </w:r>
      <w:r>
        <w:rPr>
          <w:color w:val="000000"/>
        </w:rPr>
        <w:t xml:space="preserve"> a dc</w:t>
      </w:r>
      <w:r>
        <w:rPr>
          <w:color w:val="000000"/>
        </w:rPr>
        <w:t>d</w:t>
      </w:r>
      <w:r>
        <w:rPr>
          <w:color w:val="000000"/>
        </w:rPr>
        <w:t xml:space="preserve">dm:SERVICE whereas a dcddm:SERVICE </w:t>
      </w:r>
      <w:r>
        <w:rPr>
          <w:b/>
          <w:bCs/>
          <w:color w:val="000000"/>
        </w:rPr>
        <w:t>provides access</w:t>
      </w:r>
      <w:r>
        <w:rPr>
          <w:color w:val="000000"/>
        </w:rPr>
        <w:t xml:space="preserve"> to a dcddm:collection or </w:t>
      </w:r>
      <w:r>
        <w:rPr>
          <w:b/>
          <w:bCs/>
          <w:color w:val="000000"/>
        </w:rPr>
        <w:t>provide information</w:t>
      </w:r>
      <w:r>
        <w:rPr>
          <w:color w:val="000000"/>
        </w:rPr>
        <w:t xml:space="preserve"> about it.  Finally a dcddm:COLLECTION might </w:t>
      </w:r>
      <w:r>
        <w:rPr>
          <w:b/>
          <w:bCs/>
          <w:color w:val="000000"/>
        </w:rPr>
        <w:t>be located</w:t>
      </w:r>
      <w:r>
        <w:rPr>
          <w:color w:val="000000"/>
        </w:rPr>
        <w:t xml:space="preserve"> at a dcddm:LOCATION.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The DCDDM Class Diagram </w:t>
      </w:r>
      <w:r>
        <w:rPr>
          <w:color w:val="000000"/>
        </w:rPr>
        <w:t xml:space="preserve">below </w:t>
      </w:r>
      <w:r>
        <w:rPr>
          <w:color w:val="000000"/>
        </w:rPr>
        <w:t xml:space="preserve">summarizes the possible relations: 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384425" cy="1990090"/>
                <wp:effectExtent l="0" t="0" r="0" b="0"/>
                <wp:wrapTopAndBottom/>
                <wp:docPr id="1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9900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Abbildung </w:t>
                              <w:drawing>
                                <wp:inline distT="0" distB="0" distL="0" distR="0">
                                  <wp:extent cx="2384425" cy="1635125"/>
                                  <wp:effectExtent l="0" t="0" r="0" b="0"/>
                                  <wp:docPr id="2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425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Platzhalterbild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7.75pt;height:156.7pt;mso-wrap-distance-left:0pt;mso-wrap-distance-right:0pt;mso-wrap-distance-top:0pt;mso-wrap-distance-bottom:0pt;margin-top:0pt;mso-position-vertical:top;mso-position-vertical-relative:text;margin-left:147.1pt;mso-position-horizontal:center;mso-position-horizontal-relative:text">
                <v:textbox inset="0in,0in,0in,0in"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t xml:space="preserve">Abbildung </w:t>
                        <w:drawing>
                          <wp:inline distT="0" distB="0" distL="0" distR="0">
                            <wp:extent cx="2384425" cy="1635125"/>
                            <wp:effectExtent l="0" t="0" r="0" b="0"/>
                            <wp:docPr id="3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425" cy="163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Platzhalterbild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dcddm:COLLECTION</w:t>
      </w:r>
    </w:p>
    <w:p>
      <w:pPr>
        <w:pStyle w:val="Normal"/>
        <w:rPr/>
      </w:pPr>
      <w:r>
        <w:rPr>
          <w:color w:val="000000"/>
        </w:rPr>
        <w:t>F</w:t>
      </w:r>
      <w:r>
        <w:rPr>
          <w:color w:val="000000"/>
        </w:rPr>
        <w:t xml:space="preserve">rom a more technical point of view </w:t>
      </w:r>
      <w:r>
        <w:rPr>
          <w:color w:val="000000"/>
        </w:rPr>
        <w:t xml:space="preserve">a </w:t>
      </w:r>
      <w:r>
        <w:rPr>
          <w:color w:val="000000"/>
        </w:rPr>
        <w:t xml:space="preserve">dcddm:COLLECTION is a wrapper class </w:t>
      </w:r>
      <w:r>
        <w:rPr>
          <w:color w:val="000000"/>
        </w:rPr>
        <w:t>containing</w:t>
      </w:r>
      <w:r>
        <w:rPr>
          <w:color w:val="000000"/>
        </w:rPr>
        <w:t xml:space="preserve"> </w:t>
      </w:r>
      <w:r>
        <w:rPr>
          <w:color w:val="000000"/>
        </w:rPr>
        <w:t>29</w:t>
      </w:r>
      <w:r>
        <w:rPr>
          <w:color w:val="000000"/>
        </w:rPr>
        <w:t xml:space="preserve"> different elements. </w:t>
      </w:r>
      <w:r>
        <w:rPr>
          <w:color w:val="000000"/>
        </w:rPr>
        <w:t xml:space="preserve">Depending on the described collection and the level of detail the description should provide, the number of used elements might </w:t>
      </w:r>
      <w:r>
        <w:rPr>
          <w:color w:val="000000"/>
        </w:rPr>
        <w:t xml:space="preserve">ranges from six to (theoretically) infinite. </w:t>
      </w:r>
      <w:r>
        <w:rPr>
          <w:color w:val="000000"/>
        </w:rPr>
        <w:t xml:space="preserve">Those elements contain descriptive and identifying metadata, hold administrative and technical information, and describe the semantic relations between the four entities Collection, Agent, Service, and Location. </w:t>
      </w:r>
      <w:r>
        <w:rPr>
          <w:color w:val="000000"/>
        </w:rPr>
        <w:t xml:space="preserve">If possible any information should be provided in standardized forms by using either a controlled vocabulary, unambiguous references to such normdata or a syntax encoding scheme. </w:t>
      </w:r>
      <w:r>
        <w:rPr>
          <w:color w:val="000000"/>
        </w:rPr>
        <w:t>The usage of normdata and syntax encoding schemes is documented through attributes, datatypes and complex elements containing one ore more chi</w:t>
      </w:r>
      <w:r>
        <w:rPr>
          <w:color w:val="000000"/>
        </w:rPr>
        <w:t>ldelements. In cases where references to normdatasets are relying on identifiers the corresponding information is presented in human readable form as well through the usage of label-elements.  This means the information about a collection´s subject is presented as a standardized reference to the GND through the specific GND number and with a fitting human readable expression in a label-</w:t>
      </w:r>
      <w:r>
        <w:rPr>
          <w:color w:val="000000"/>
        </w:rPr>
        <w:t>element.</w:t>
      </w:r>
      <w:r>
        <w:rPr>
          <w:color w:val="000000"/>
        </w:rPr>
        <w:t xml:space="preserve"> The same thing happens for elements bound to a syntax encoding scheme.</w:t>
      </w:r>
    </w:p>
    <w:p>
      <w:pPr>
        <w:pStyle w:val="Normal"/>
        <w:rPr/>
      </w:pPr>
      <w:r>
        <w:rPr>
          <w:color w:val="000000"/>
        </w:rPr>
        <w:t>T</w:t>
      </w:r>
      <w:r>
        <w:rPr>
          <w:color w:val="000000"/>
        </w:rPr>
        <w:t>he 29 Elements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Ubuntu">
    <w:charset w:val="00"/>
    <w:family w:val="auto"/>
    <w:pitch w:val="default"/>
  </w:font>
  <w:font w:name="WeblySleek UI Semilight">
    <w:charset w:val="00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/>
      </w:pPr>
      <w:r>
        <w:rPr/>
        <w:footnoteRef/>
        <w:tab/>
        <w:t xml:space="preserve"> </w:t>
      </w:r>
      <w:r>
        <w:rPr/>
        <w:t>http://purl.org/dc/dcmitype/Collection</w:t>
      </w:r>
    </w:p>
  </w:footnote>
  <w:footnote w:id="3">
    <w:p>
      <w:pPr>
        <w:pStyle w:val="Funote"/>
        <w:rPr/>
      </w:pPr>
      <w:r>
        <w:rPr/>
        <w:footnoteRef/>
        <w:tab/>
        <w:t xml:space="preserve"> </w:t>
      </w:r>
      <w:r>
        <w:rPr/>
        <w:t>http://purl.org/dc/terms/Agen</w:t>
      </w:r>
    </w:p>
  </w:footnote>
  <w:footnote w:id="4">
    <w:p>
      <w:pPr>
        <w:pStyle w:val="Funote"/>
        <w:rPr>
          <w:color w:val="000000"/>
        </w:rPr>
      </w:pPr>
      <w:r>
        <w:rPr>
          <w:color w:val="000000"/>
        </w:rPr>
        <w:footnoteRef/>
        <w:tab/>
        <w:t xml:space="preserve"> </w:t>
      </w:r>
      <w:r>
        <w:rPr>
          <w:color w:val="000000"/>
        </w:rPr>
        <w:t>http://purl.org/dc/terms/Location</w:t>
      </w:r>
    </w:p>
  </w:footnote>
  <w:footnote w:id="5">
    <w:p>
      <w:pPr>
        <w:pStyle w:val="Funote"/>
        <w:rPr/>
      </w:pPr>
      <w:r>
        <w:rPr/>
        <w:footnoteRef/>
        <w:tab/>
        <w:t xml:space="preserve"> </w:t>
      </w:r>
      <w:r>
        <w:rPr/>
        <w:t>http://purl.org/dc/dcmitype/Service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jc w:val="both"/>
    </w:pPr>
    <w:rPr>
      <w:rFonts w:ascii="Calibri" w:hAnsi="Calibri" w:eastAsia="SimSun" w:cs="Mangal"/>
      <w:color w:val="auto"/>
      <w:sz w:val="22"/>
      <w:szCs w:val="22"/>
      <w:lang w:val="en-US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rFonts w:ascii="Calibri Light" w:hAnsi="Calibri Light"/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Berschrift5">
    <w:name w:val="Überschrift 5"/>
    <w:basedOn w:val="Berschrift"/>
    <w:next w:val="Textkrper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Ubuntu" w:hAnsi="Ubuntu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WeblySleek UI Semilight" w:hAnsi="WeblySleek UI Semilight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rFonts w:ascii="Calibri Light" w:hAnsi="Calibri Light"/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Literaturverzeichnis1">
    <w:name w:val="Literaturverzeichnis 1"/>
    <w:basedOn w:val="Verzeichnis"/>
    <w:qFormat/>
    <w:pPr>
      <w:spacing w:lineRule="atLeast" w:line="240" w:before="0" w:after="0"/>
      <w:ind w:left="720" w:right="0" w:hanging="720"/>
    </w:pPr>
    <w:rPr/>
  </w:style>
  <w:style w:type="paragraph" w:styleId="Funote">
    <w:name w:val="Fußnote"/>
    <w:basedOn w:val="Normal"/>
    <w:pPr>
      <w:spacing w:lineRule="auto" w:line="240"/>
    </w:pPr>
    <w:rPr>
      <w:sz w:val="20"/>
      <w:szCs w:val="20"/>
    </w:rPr>
  </w:style>
  <w:style w:type="paragraph" w:styleId="Abbildung">
    <w:name w:val="Abbildung"/>
    <w:basedOn w:val="Beschriftung"/>
    <w:qFormat/>
    <w:pPr/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2515</TotalTime>
  <Application>LibreOffice/4.4.1.2$Windows_x86 LibreOffice_project/45e2de17089c24a1fa810c8f975a7171ba4cd432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2015-05-18T16:23:30Z</dcterms:created>
  <dc:language>de-DE</dc:language>
  <dcterms:modified xsi:type="dcterms:W3CDTF">2015-05-19T09:18:18Z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zotero-version="4.0.26.4"&gt;&lt;session id="mFT8wNjk"/&gt;&lt;style id="http://www.zotero.org/styles/chicago-author-date" hasBibliography="1" bibliographyStyleHasBeenSet="1"/&gt;&lt;prefs&gt;&lt;pref name="fieldType" value="ReferenceMark"/&gt;&lt;pref name="sto</vt:lpwstr>
  </property>
  <property fmtid="{D5CDD505-2E9C-101B-9397-08002B2CF9AE}" pid="3" name="ZOTERO_PREF_2">
    <vt:lpwstr>reReferences" value="true"/&gt;&lt;pref name="automaticJournalAbbreviations" value="true"/&gt;&lt;pref name="noteType" value="0"/&gt;&lt;/prefs&gt;&lt;/data&gt;</vt:lpwstr>
  </property>
</Properties>
</file>