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98775A">
      <w:pPr>
        <w:widowControl/>
        <w:spacing w:line="300" w:lineRule="auto"/>
        <w:jc w:val="right"/>
        <w:rPr>
          <w:rFonts w:hint="default" w:ascii="Cambria" w:hAnsi="Cambria" w:eastAsia="宋体"/>
          <w:caps/>
          <w:lang w:val="en-US" w:eastAsia="zh-CN"/>
        </w:rPr>
      </w:pPr>
      <w:bookmarkStart w:id="0" w:name="_Hlk153368485"/>
      <w:bookmarkEnd w:id="0"/>
      <w:bookmarkStart w:id="1" w:name="_Toc259177712"/>
      <w:bookmarkStart w:id="2" w:name="_Toc169115234"/>
      <w:r>
        <w:rPr>
          <w:rFonts w:hint="eastAsia" w:ascii="Cambria" w:hAnsi="Cambria"/>
          <w:caps/>
          <w:sz w:val="24"/>
        </w:rPr>
        <w:t>学号：</w:t>
      </w:r>
      <w:r>
        <w:rPr>
          <w:caps/>
          <w:sz w:val="24"/>
        </w:rPr>
        <w:t>20</w:t>
      </w:r>
      <w:r>
        <w:rPr>
          <w:rFonts w:hint="eastAsia"/>
          <w:caps/>
          <w:sz w:val="24"/>
        </w:rPr>
        <w:t>22</w:t>
      </w:r>
      <w:r>
        <w:rPr>
          <w:caps/>
          <w:sz w:val="24"/>
        </w:rPr>
        <w:t>1031</w:t>
      </w:r>
      <w:r>
        <w:rPr>
          <w:rFonts w:hint="eastAsia"/>
          <w:caps/>
          <w:sz w:val="24"/>
          <w:lang w:val="en-US" w:eastAsia="zh-CN"/>
        </w:rPr>
        <w:t>0115</w:t>
      </w:r>
    </w:p>
    <w:p w14:paraId="1B27A3BF">
      <w:pPr>
        <w:widowControl/>
        <w:spacing w:line="300" w:lineRule="auto"/>
        <w:jc w:val="left"/>
        <w:rPr>
          <w:rFonts w:ascii="Cambria" w:hAnsi="Cambria"/>
          <w:caps/>
        </w:rPr>
      </w:pPr>
      <w:r>
        <w:rPr>
          <w:rFonts w:ascii="微软雅黑" w:hAnsi="微软雅黑" w:eastAsia="微软雅黑"/>
          <w:b/>
          <w:bCs/>
          <w:sz w:val="40"/>
          <w:szCs w:val="32"/>
        </w:rPr>
        <mc:AlternateContent>
          <mc:Choice Requires="wps">
            <w:drawing>
              <wp:inline distT="0" distB="0" distL="0" distR="0">
                <wp:extent cx="5187950" cy="1200150"/>
                <wp:effectExtent l="0" t="542925" r="31750" b="0"/>
                <wp:docPr id="1714537648" name="文本框 1"/>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187950" cy="1200150"/>
                        </a:xfrm>
                        <a:prstGeom prst="rect">
                          <a:avLst/>
                        </a:prstGeom>
                      </wps:spPr>
                      <wps:txbx>
                        <w:txbxContent>
                          <w:p w14:paraId="7AD01860">
                            <w:pPr>
                              <w:jc w:val="center"/>
                              <w:rPr>
                                <w:rFonts w:ascii="华文行楷" w:eastAsia="华文行楷"/>
                                <w:color w:val="000000"/>
                                <w:kern w:val="0"/>
                                <w:sz w:val="132"/>
                                <w:szCs w:val="132"/>
                                <w14:textOutline w14:w="9525" w14:cap="flat" w14:cmpd="sng" w14:algn="ctr">
                                  <w14:solidFill>
                                    <w14:srgbClr w14:val="000000"/>
                                  </w14:solidFill>
                                  <w14:prstDash w14:val="solid"/>
                                  <w14:round/>
                                </w14:textOutline>
                              </w:rPr>
                            </w:pPr>
                            <w:r>
                              <w:rPr>
                                <w:rFonts w:hint="eastAsia" w:ascii="华文行楷" w:eastAsia="华文行楷"/>
                                <w:color w:val="000000"/>
                                <w:sz w:val="132"/>
                                <w:szCs w:val="132"/>
                                <w14:textOutline w14:w="9525" w14:cap="flat" w14:cmpd="sng" w14:algn="ctr">
                                  <w14:solidFill>
                                    <w14:srgbClr w14:val="000000"/>
                                  </w14:solidFill>
                                  <w14:prstDash w14:val="solid"/>
                                  <w14:round/>
                                </w14:textOutline>
                              </w:rPr>
                              <w:t>上海海事大学</w:t>
                            </w:r>
                          </w:p>
                        </w:txbxContent>
                      </wps:txbx>
                      <wps:bodyPr spcFirstLastPara="1" wrap="square" numCol="1" fromWordArt="1">
                        <a:prstTxWarp prst="textArchUp">
                          <a:avLst>
                            <a:gd name="adj" fmla="val 10800000"/>
                          </a:avLst>
                        </a:prstTxWarp>
                        <a:spAutoFit/>
                      </wps:bodyPr>
                    </wps:wsp>
                  </a:graphicData>
                </a:graphic>
              </wp:inline>
            </w:drawing>
          </mc:Choice>
          <mc:Fallback>
            <w:pict>
              <v:shape id="文本框 1" o:spid="_x0000_s1026" o:spt="202" type="#_x0000_t202" style="height:94.5pt;width:408.5pt;" filled="f" stroked="f" coordsize="21600,21600" o:gfxdata="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z8DrdQAAAAFAQAADwAAAAAAAAABACAAAAAiAAAAZHJzL2Rvd25y&#10;ZXYueG1sUEsBAhQAFAAAAAgAh07iQFD4ePA7AgAATAQAAA4AAAAAAAAAAQAgAAAAIwEAAGRycy9l&#10;Mm9Eb2MueG1sUEsFBgAAAAAGAAYAWQEAANAFAAAAAA==&#10;" adj="-11796480">
                <v:fill on="f" focussize="0,0"/>
                <v:stroke on="f"/>
                <v:imagedata o:title=""/>
                <o:lock v:ext="edit" text="t" aspectratio="f"/>
                <v:textbox style="mso-fit-shape-to-text:t;">
                  <w:txbxContent>
                    <w:p w14:paraId="7AD01860">
                      <w:pPr>
                        <w:jc w:val="center"/>
                        <w:rPr>
                          <w:rFonts w:ascii="华文行楷" w:eastAsia="华文行楷"/>
                          <w:color w:val="000000"/>
                          <w:kern w:val="0"/>
                          <w:sz w:val="132"/>
                          <w:szCs w:val="132"/>
                          <w14:textOutline w14:w="9525" w14:cap="flat" w14:cmpd="sng" w14:algn="ctr">
                            <w14:solidFill>
                              <w14:srgbClr w14:val="000000"/>
                            </w14:solidFill>
                            <w14:prstDash w14:val="solid"/>
                            <w14:round/>
                          </w14:textOutline>
                        </w:rPr>
                      </w:pPr>
                      <w:r>
                        <w:rPr>
                          <w:rFonts w:hint="eastAsia" w:ascii="华文行楷" w:eastAsia="华文行楷"/>
                          <w:color w:val="000000"/>
                          <w:sz w:val="132"/>
                          <w:szCs w:val="132"/>
                          <w14:textOutline w14:w="9525" w14:cap="flat" w14:cmpd="sng" w14:algn="ctr">
                            <w14:solidFill>
                              <w14:srgbClr w14:val="000000"/>
                            </w14:solidFill>
                            <w14:prstDash w14:val="solid"/>
                            <w14:round/>
                          </w14:textOutline>
                        </w:rPr>
                        <w:t>上海海事大学</w:t>
                      </w:r>
                    </w:p>
                  </w:txbxContent>
                </v:textbox>
                <w10:wrap type="none"/>
                <w10:anchorlock/>
              </v:shape>
            </w:pict>
          </mc:Fallback>
        </mc:AlternateContent>
      </w:r>
      <w:bookmarkStart w:id="16" w:name="_GoBack"/>
      <w:bookmarkEnd w:id="16"/>
    </w:p>
    <w:p w14:paraId="5AC18704">
      <w:pPr>
        <w:widowControl/>
        <w:spacing w:line="300" w:lineRule="auto"/>
        <w:jc w:val="center"/>
        <w:rPr>
          <w:rFonts w:ascii="Cambria" w:hAnsi="Cambria"/>
          <w:b/>
          <w:caps/>
          <w:sz w:val="52"/>
          <w:szCs w:val="52"/>
        </w:rPr>
      </w:pPr>
      <w:r>
        <w:rPr>
          <w:rFonts w:hint="eastAsia" w:ascii="Cambria" w:hAnsi="Cambria"/>
          <w:b/>
          <w:caps/>
          <w:sz w:val="52"/>
          <w:szCs w:val="52"/>
        </w:rPr>
        <w:t>《企业专业实务课程设计》</w:t>
      </w:r>
    </w:p>
    <w:p w14:paraId="4D6579DF">
      <w:pPr>
        <w:widowControl/>
        <w:spacing w:line="300" w:lineRule="auto"/>
        <w:jc w:val="center"/>
        <w:rPr>
          <w:rFonts w:ascii="Cambria" w:hAnsi="Cambria"/>
          <w:caps/>
          <w:sz w:val="32"/>
          <w:szCs w:val="32"/>
        </w:rPr>
      </w:pPr>
      <w:r>
        <w:rPr>
          <w:rFonts w:ascii="Arial" w:hAnsi="Arial" w:cs="Arial"/>
          <w:sz w:val="22"/>
          <w:szCs w:val="22"/>
        </w:rPr>
        <w:drawing>
          <wp:inline distT="0" distB="0" distL="0" distR="0">
            <wp:extent cx="1266825" cy="1257300"/>
            <wp:effectExtent l="19050" t="0" r="9525" b="0"/>
            <wp:docPr id="109097272" name="图片 10909727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7272" name="图片 109097272" descr="00"/>
                    <pic:cNvPicPr>
                      <a:picLocks noChangeAspect="1" noChangeArrowheads="1"/>
                    </pic:cNvPicPr>
                  </pic:nvPicPr>
                  <pic:blipFill>
                    <a:blip r:embed="rId6" cstate="print"/>
                    <a:srcRect/>
                    <a:stretch>
                      <a:fillRect/>
                    </a:stretch>
                  </pic:blipFill>
                  <pic:spPr>
                    <a:xfrm>
                      <a:off x="0" y="0"/>
                      <a:ext cx="1266825" cy="1257300"/>
                    </a:xfrm>
                    <a:prstGeom prst="rect">
                      <a:avLst/>
                    </a:prstGeom>
                    <a:noFill/>
                    <a:ln w="9525">
                      <a:noFill/>
                      <a:miter lim="800000"/>
                      <a:headEnd/>
                      <a:tailEnd/>
                    </a:ln>
                  </pic:spPr>
                </pic:pic>
              </a:graphicData>
            </a:graphic>
          </wp:inline>
        </w:drawing>
      </w:r>
    </w:p>
    <w:bookmarkEnd w:id="1"/>
    <w:p w14:paraId="22BE5330">
      <w:pPr>
        <w:spacing w:before="120" w:line="288" w:lineRule="auto"/>
        <w:ind w:firstLine="1281" w:firstLineChars="400"/>
        <w:rPr>
          <w:rFonts w:hint="eastAsia"/>
          <w:b/>
          <w:bCs/>
          <w:sz w:val="32"/>
          <w:szCs w:val="32"/>
        </w:rPr>
      </w:pPr>
      <w:r>
        <w:rPr>
          <w:rFonts w:hint="eastAsia"/>
          <w:b/>
          <w:sz w:val="32"/>
        </w:rPr>
        <w:t>设计题目</w:t>
      </w:r>
      <w:r>
        <w:rPr>
          <w:rFonts w:hint="eastAsia"/>
          <w:b/>
          <w:sz w:val="32"/>
          <w:szCs w:val="32"/>
          <w:u w:val="thick"/>
        </w:rPr>
        <w:t xml:space="preserve">          急速分拣  </w:t>
      </w:r>
      <w:r>
        <w:rPr>
          <w:b/>
          <w:sz w:val="32"/>
          <w:szCs w:val="32"/>
          <w:u w:val="thick"/>
        </w:rPr>
        <w:t xml:space="preserve">  </w:t>
      </w:r>
      <w:r>
        <w:rPr>
          <w:rFonts w:hint="eastAsia"/>
          <w:b/>
          <w:sz w:val="32"/>
          <w:szCs w:val="32"/>
          <w:u w:val="thick"/>
        </w:rPr>
        <w:t xml:space="preserve">      </w:t>
      </w:r>
    </w:p>
    <w:p w14:paraId="4F7CAD36">
      <w:pPr>
        <w:tabs>
          <w:tab w:val="left" w:pos="2700"/>
        </w:tabs>
        <w:spacing w:before="240" w:line="520" w:lineRule="exact"/>
        <w:ind w:firstLine="1260"/>
        <w:rPr>
          <w:b/>
          <w:sz w:val="28"/>
          <w:u w:val="single"/>
        </w:rPr>
      </w:pPr>
      <w:r>
        <mc:AlternateContent>
          <mc:Choice Requires="wps">
            <w:drawing>
              <wp:anchor distT="0" distB="0" distL="114300" distR="114300" simplePos="0" relativeHeight="251661312" behindDoc="0" locked="0" layoutInCell="1" allowOverlap="1">
                <wp:simplePos x="0" y="0"/>
                <wp:positionH relativeFrom="column">
                  <wp:posOffset>2680970</wp:posOffset>
                </wp:positionH>
                <wp:positionV relativeFrom="paragraph">
                  <wp:posOffset>22860</wp:posOffset>
                </wp:positionV>
                <wp:extent cx="1060450" cy="426720"/>
                <wp:effectExtent l="0" t="0" r="0" b="0"/>
                <wp:wrapNone/>
                <wp:docPr id="687358912" name="文本框 146"/>
                <wp:cNvGraphicFramePr/>
                <a:graphic xmlns:a="http://schemas.openxmlformats.org/drawingml/2006/main">
                  <a:graphicData uri="http://schemas.microsoft.com/office/word/2010/wordprocessingShape">
                    <wps:wsp>
                      <wps:cNvSpPr txBox="1"/>
                      <wps:spPr>
                        <a:xfrm>
                          <a:off x="0" y="0"/>
                          <a:ext cx="1060450" cy="426720"/>
                        </a:xfrm>
                        <a:prstGeom prst="rect">
                          <a:avLst/>
                        </a:prstGeom>
                        <a:noFill/>
                        <a:ln>
                          <a:noFill/>
                        </a:ln>
                      </wps:spPr>
                      <wps:txbx>
                        <w:txbxContent>
                          <w:p w14:paraId="0D4403A6">
                            <w:pPr>
                              <w:rPr>
                                <w:rFonts w:hint="eastAsia" w:eastAsia="宋体"/>
                                <w:b/>
                                <w:sz w:val="28"/>
                                <w:szCs w:val="28"/>
                                <w:lang w:val="en-US" w:eastAsia="zh-CN"/>
                              </w:rPr>
                            </w:pPr>
                            <w:r>
                              <w:rPr>
                                <w:rFonts w:hint="eastAsia"/>
                                <w:b/>
                                <w:sz w:val="28"/>
                                <w:szCs w:val="28"/>
                                <w:lang w:val="en-US" w:eastAsia="zh-CN"/>
                              </w:rPr>
                              <w:t>刘逸杰</w:t>
                            </w:r>
                          </w:p>
                        </w:txbxContent>
                      </wps:txbx>
                      <wps:bodyPr upright="1"/>
                    </wps:wsp>
                  </a:graphicData>
                </a:graphic>
              </wp:anchor>
            </w:drawing>
          </mc:Choice>
          <mc:Fallback>
            <w:pict>
              <v:shape id="文本框 146" o:spid="_x0000_s1026" o:spt="202" type="#_x0000_t202" style="position:absolute;left:0pt;margin-left:211.1pt;margin-top:1.8pt;height:33.6pt;width:83.5pt;z-index:251661312;mso-width-relative:page;mso-height-relative:page;" filled="f" stroked="f" coordsize="21600,21600" o:gfxdata="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UG0W1gAAAAgBAAAPAAAAAAAAAAEAIAAAACIAAABkcnMvZG93bnJldi54bWxQSwECFAAUAAAA&#10;CACHTuJAL/aQ8LcBAABYAwAADgAAAAAAAAABACAAAAAlAQAAZHJzL2Uyb0RvYy54bWxQSwUGAAAA&#10;AAYABgBZAQAATgUAAAAA&#10;">
                <v:fill on="f" focussize="0,0"/>
                <v:stroke on="f"/>
                <v:imagedata o:title=""/>
                <o:lock v:ext="edit" aspectratio="f"/>
                <v:textbox>
                  <w:txbxContent>
                    <w:p w14:paraId="0D4403A6">
                      <w:pPr>
                        <w:rPr>
                          <w:rFonts w:hint="eastAsia" w:eastAsia="宋体"/>
                          <w:b/>
                          <w:sz w:val="28"/>
                          <w:szCs w:val="28"/>
                          <w:lang w:val="en-US" w:eastAsia="zh-CN"/>
                        </w:rPr>
                      </w:pPr>
                      <w:r>
                        <w:rPr>
                          <w:rFonts w:hint="eastAsia"/>
                          <w:b/>
                          <w:sz w:val="28"/>
                          <w:szCs w:val="28"/>
                          <w:lang w:val="en-US" w:eastAsia="zh-CN"/>
                        </w:rPr>
                        <w:t>刘逸杰</w:t>
                      </w:r>
                    </w:p>
                  </w:txbxContent>
                </v:textbox>
              </v:shape>
            </w:pict>
          </mc:Fallback>
        </mc:AlternateContent>
      </w:r>
      <w:r>
        <w:rPr>
          <w:rFonts w:hint="eastAsia"/>
          <w:b/>
          <w:sz w:val="28"/>
        </w:rPr>
        <w:t xml:space="preserve">学生姓名  </w:t>
      </w:r>
      <w:r>
        <w:rPr>
          <w:rFonts w:hint="eastAsia"/>
          <w:b/>
          <w:sz w:val="28"/>
          <w:u w:val="thick"/>
        </w:rPr>
        <w:t xml:space="preserve">                                </w:t>
      </w:r>
    </w:p>
    <w:p w14:paraId="7D0DCF19">
      <w:pPr>
        <w:tabs>
          <w:tab w:val="left" w:pos="2340"/>
          <w:tab w:val="left" w:pos="2520"/>
          <w:tab w:val="left" w:pos="2700"/>
          <w:tab w:val="left" w:pos="2880"/>
          <w:tab w:val="left" w:pos="3780"/>
          <w:tab w:val="left" w:pos="3960"/>
          <w:tab w:val="left" w:pos="4140"/>
          <w:tab w:val="left" w:pos="4320"/>
        </w:tabs>
        <w:spacing w:before="240" w:line="520" w:lineRule="exact"/>
        <w:ind w:firstLine="1260"/>
        <w:rPr>
          <w:rFonts w:hint="eastAsia" w:ascii="宋体" w:hAnsi="宋体"/>
          <w:b/>
          <w:sz w:val="28"/>
          <w:u w:val="thick"/>
        </w:rPr>
      </w:pPr>
      <w:r>
        <w:rPr>
          <w:rFonts w:ascii="黑体" w:eastAsia="黑体"/>
          <w:b/>
          <w:sz w:val="44"/>
          <w:szCs w:val="44"/>
        </w:rPr>
        <mc:AlternateContent>
          <mc:Choice Requires="wps">
            <w:drawing>
              <wp:anchor distT="0" distB="0" distL="114300" distR="114300" simplePos="0" relativeHeight="251660288" behindDoc="0" locked="0" layoutInCell="1" allowOverlap="1">
                <wp:simplePos x="0" y="0"/>
                <wp:positionH relativeFrom="column">
                  <wp:posOffset>2700020</wp:posOffset>
                </wp:positionH>
                <wp:positionV relativeFrom="paragraph">
                  <wp:posOffset>48895</wp:posOffset>
                </wp:positionV>
                <wp:extent cx="1201420" cy="426720"/>
                <wp:effectExtent l="0" t="0" r="0" b="0"/>
                <wp:wrapNone/>
                <wp:docPr id="1" name="文本框 145"/>
                <wp:cNvGraphicFramePr/>
                <a:graphic xmlns:a="http://schemas.openxmlformats.org/drawingml/2006/main">
                  <a:graphicData uri="http://schemas.microsoft.com/office/word/2010/wordprocessingShape">
                    <wps:wsp>
                      <wps:cNvSpPr txBox="1"/>
                      <wps:spPr>
                        <a:xfrm>
                          <a:off x="0" y="0"/>
                          <a:ext cx="1201420" cy="426720"/>
                        </a:xfrm>
                        <a:prstGeom prst="rect">
                          <a:avLst/>
                        </a:prstGeom>
                        <a:noFill/>
                        <a:ln>
                          <a:noFill/>
                        </a:ln>
                      </wps:spPr>
                      <wps:txbx>
                        <w:txbxContent>
                          <w:p w14:paraId="69858939">
                            <w:pPr>
                              <w:rPr>
                                <w:b/>
                                <w:sz w:val="28"/>
                                <w:szCs w:val="28"/>
                              </w:rPr>
                            </w:pPr>
                            <w:r>
                              <w:rPr>
                                <w:rFonts w:hint="eastAsia"/>
                                <w:b/>
                                <w:sz w:val="28"/>
                                <w:szCs w:val="28"/>
                                <w:lang w:val="zh-CN"/>
                              </w:rPr>
                              <w:t>章夏芬</w:t>
                            </w:r>
                          </w:p>
                        </w:txbxContent>
                      </wps:txbx>
                      <wps:bodyPr upright="1"/>
                    </wps:wsp>
                  </a:graphicData>
                </a:graphic>
              </wp:anchor>
            </w:drawing>
          </mc:Choice>
          <mc:Fallback>
            <w:pict>
              <v:shape id="文本框 145" o:spid="_x0000_s1026" o:spt="202" type="#_x0000_t202" style="position:absolute;left:0pt;margin-left:212.6pt;margin-top:3.85pt;height:33.6pt;width:94.6pt;z-index:251660288;mso-width-relative:page;mso-height-relative:page;" filled="f" stroked="f" coordsize="21600,21600" o:gfxdata="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UlXed1QAAAAgB&#10;AAAPAAAAAAAAAAEAIAAAACIAAABkcnMvZG93bnJldi54bWxQSwECFAAUAAAACACHTuJA1aweMqwB&#10;AABQAwAADgAAAAAAAAABACAAAAAkAQAAZHJzL2Uyb0RvYy54bWxQSwUGAAAAAAYABgBZAQAAQgUA&#10;AAAA&#10;">
                <v:fill on="f" focussize="0,0"/>
                <v:stroke on="f"/>
                <v:imagedata o:title=""/>
                <o:lock v:ext="edit" aspectratio="f"/>
                <v:textbox>
                  <w:txbxContent>
                    <w:p w14:paraId="69858939">
                      <w:pPr>
                        <w:rPr>
                          <w:b/>
                          <w:sz w:val="28"/>
                          <w:szCs w:val="28"/>
                        </w:rPr>
                      </w:pPr>
                      <w:r>
                        <w:rPr>
                          <w:rFonts w:hint="eastAsia"/>
                          <w:b/>
                          <w:sz w:val="28"/>
                          <w:szCs w:val="28"/>
                          <w:lang w:val="zh-CN"/>
                        </w:rPr>
                        <w:t>章夏芬</w:t>
                      </w:r>
                    </w:p>
                  </w:txbxContent>
                </v:textbox>
              </v:shape>
            </w:pict>
          </mc:Fallback>
        </mc:AlternateContent>
      </w:r>
      <w:r>
        <w:rPr>
          <w:rFonts w:hint="eastAsia"/>
          <w:b/>
          <w:sz w:val="28"/>
        </w:rPr>
        <w:t xml:space="preserve">指导教师  </w:t>
      </w:r>
      <w:r>
        <w:rPr>
          <w:rFonts w:hint="eastAsia"/>
          <w:b/>
          <w:sz w:val="28"/>
          <w:u w:val="thick"/>
        </w:rPr>
        <w:t xml:space="preserve">                                </w:t>
      </w:r>
    </w:p>
    <w:p w14:paraId="15CEF429">
      <w:pPr>
        <w:spacing w:before="360" w:line="520" w:lineRule="exact"/>
        <w:ind w:firstLine="1260"/>
        <w:rPr>
          <w:b/>
          <w:sz w:val="28"/>
          <w:u w:val="single"/>
        </w:rPr>
      </w:pPr>
      <w:r>
        <mc:AlternateContent>
          <mc:Choice Requires="wps">
            <w:drawing>
              <wp:anchor distT="0" distB="0" distL="114300" distR="114300" simplePos="0" relativeHeight="251662336" behindDoc="0" locked="0" layoutInCell="1" allowOverlap="1">
                <wp:simplePos x="0" y="0"/>
                <wp:positionH relativeFrom="column">
                  <wp:posOffset>2433955</wp:posOffset>
                </wp:positionH>
                <wp:positionV relativeFrom="paragraph">
                  <wp:posOffset>71120</wp:posOffset>
                </wp:positionV>
                <wp:extent cx="1307465" cy="426720"/>
                <wp:effectExtent l="0" t="0" r="0" b="0"/>
                <wp:wrapNone/>
                <wp:docPr id="8" name="文本框 147"/>
                <wp:cNvGraphicFramePr/>
                <a:graphic xmlns:a="http://schemas.openxmlformats.org/drawingml/2006/main">
                  <a:graphicData uri="http://schemas.microsoft.com/office/word/2010/wordprocessingShape">
                    <wps:wsp>
                      <wps:cNvSpPr txBox="1"/>
                      <wps:spPr>
                        <a:xfrm>
                          <a:off x="0" y="0"/>
                          <a:ext cx="1307465" cy="426720"/>
                        </a:xfrm>
                        <a:prstGeom prst="rect">
                          <a:avLst/>
                        </a:prstGeom>
                        <a:noFill/>
                        <a:ln>
                          <a:noFill/>
                        </a:ln>
                      </wps:spPr>
                      <wps:txbx>
                        <w:txbxContent>
                          <w:p w14:paraId="4818565F">
                            <w:pPr>
                              <w:rPr>
                                <w:b/>
                                <w:sz w:val="28"/>
                                <w:szCs w:val="28"/>
                              </w:rPr>
                            </w:pPr>
                            <w:r>
                              <w:rPr>
                                <w:rFonts w:hint="eastAsia"/>
                                <w:b/>
                                <w:sz w:val="28"/>
                                <w:szCs w:val="28"/>
                                <w:lang w:val="zh-CN"/>
                              </w:rPr>
                              <w:t>计算机221卓</w:t>
                            </w:r>
                          </w:p>
                        </w:txbxContent>
                      </wps:txbx>
                      <wps:bodyPr upright="1"/>
                    </wps:wsp>
                  </a:graphicData>
                </a:graphic>
              </wp:anchor>
            </w:drawing>
          </mc:Choice>
          <mc:Fallback>
            <w:pict>
              <v:shape id="文本框 147" o:spid="_x0000_s1026" o:spt="202" type="#_x0000_t202" style="position:absolute;left:0pt;margin-left:191.65pt;margin-top:5.6pt;height:33.6pt;width:102.95pt;z-index:251662336;mso-width-relative:page;mso-height-relative:page;" filled="f" stroked="f" coordsize="21600,21600" o:gfxdata="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33CEHX&#10;AAAACQEAAA8AAAAAAAAAAQAgAAAAIgAAAGRycy9kb3ducmV2LnhtbFBLAQIUABQAAAAIAIdO4kD5&#10;597MrwEAAFADAAAOAAAAAAAAAAEAIAAAACYBAABkcnMvZTJvRG9jLnhtbFBLBQYAAAAABgAGAFkB&#10;AABHBQAAAAA=&#10;">
                <v:fill on="f" focussize="0,0"/>
                <v:stroke on="f"/>
                <v:imagedata o:title=""/>
                <o:lock v:ext="edit" aspectratio="f"/>
                <v:textbox>
                  <w:txbxContent>
                    <w:p w14:paraId="4818565F">
                      <w:pPr>
                        <w:rPr>
                          <w:b/>
                          <w:sz w:val="28"/>
                          <w:szCs w:val="28"/>
                        </w:rPr>
                      </w:pPr>
                      <w:r>
                        <w:rPr>
                          <w:rFonts w:hint="eastAsia"/>
                          <w:b/>
                          <w:sz w:val="28"/>
                          <w:szCs w:val="28"/>
                          <w:lang w:val="zh-CN"/>
                        </w:rPr>
                        <w:t>计算机221卓</w:t>
                      </w:r>
                    </w:p>
                  </w:txbxContent>
                </v:textbox>
              </v:shape>
            </w:pict>
          </mc:Fallback>
        </mc:AlternateContent>
      </w:r>
      <w:r>
        <w:rPr>
          <w:rFonts w:hint="eastAsia"/>
          <w:b/>
          <w:sz w:val="28"/>
        </w:rPr>
        <w:t xml:space="preserve">所在班级 </w:t>
      </w:r>
      <w:r>
        <w:rPr>
          <w:rFonts w:hint="eastAsia"/>
          <w:b/>
          <w:sz w:val="28"/>
          <w:u w:val="thick"/>
        </w:rPr>
        <w:t xml:space="preserve">                                </w:t>
      </w:r>
    </w:p>
    <w:p w14:paraId="3F7988F5">
      <w:pPr>
        <w:tabs>
          <w:tab w:val="left" w:pos="7200"/>
        </w:tabs>
        <w:spacing w:before="360" w:line="520" w:lineRule="exact"/>
        <w:ind w:firstLine="1260"/>
        <w:rPr>
          <w:sz w:val="28"/>
        </w:rPr>
      </w:pPr>
      <w:r>
        <w:rPr>
          <w:rFonts w:hint="eastAsia"/>
          <w:b/>
          <w:sz w:val="28"/>
        </w:rPr>
        <w:t xml:space="preserve">所在学院  </w:t>
      </w:r>
      <w:r>
        <w:rPr>
          <w:rFonts w:hint="eastAsia"/>
          <w:b/>
          <w:sz w:val="28"/>
          <w:u w:val="thick"/>
        </w:rPr>
        <w:t xml:space="preserve">         信息工程学院           </w:t>
      </w:r>
    </w:p>
    <w:p w14:paraId="34880475">
      <w:pPr>
        <w:ind w:firstLine="1260"/>
        <w:jc w:val="center"/>
      </w:pPr>
      <w:r>
        <w:rPr>
          <w:rFonts w:hint="eastAsia"/>
        </w:rPr>
        <w:t xml:space="preserve"> </w:t>
      </w:r>
    </w:p>
    <w:p w14:paraId="611FD418">
      <w:pPr>
        <w:ind w:firstLine="1260"/>
        <w:jc w:val="center"/>
      </w:pPr>
    </w:p>
    <w:p w14:paraId="1D188386">
      <w:pPr>
        <w:tabs>
          <w:tab w:val="left" w:pos="2520"/>
          <w:tab w:val="left" w:pos="2880"/>
        </w:tabs>
        <w:ind w:firstLine="1260"/>
        <w:rPr>
          <w:sz w:val="28"/>
          <w:szCs w:val="28"/>
        </w:rPr>
      </w:pPr>
      <w:r>
        <w:rPr>
          <w:rFonts w:hint="eastAsia"/>
          <w:b/>
          <w:sz w:val="28"/>
          <w:szCs w:val="28"/>
        </w:rPr>
        <w:t xml:space="preserve">提交日期  </w:t>
      </w:r>
      <w:r>
        <w:rPr>
          <w:rFonts w:hint="eastAsia"/>
          <w:b/>
          <w:sz w:val="28"/>
          <w:szCs w:val="28"/>
          <w:u w:val="thick"/>
        </w:rPr>
        <w:t xml:space="preserve">       2024年11月1</w:t>
      </w:r>
      <w:r>
        <w:rPr>
          <w:rFonts w:hint="eastAsia"/>
          <w:b/>
          <w:sz w:val="28"/>
          <w:szCs w:val="28"/>
          <w:u w:val="thick"/>
          <w:lang w:val="en-US" w:eastAsia="zh-CN"/>
        </w:rPr>
        <w:t>9</w:t>
      </w:r>
      <w:r>
        <w:rPr>
          <w:rFonts w:hint="eastAsia"/>
          <w:b/>
          <w:sz w:val="28"/>
          <w:szCs w:val="28"/>
          <w:u w:val="thick"/>
        </w:rPr>
        <w:t xml:space="preserve">日        </w:t>
      </w:r>
    </w:p>
    <w:p w14:paraId="1497AA88">
      <w:pPr>
        <w:pStyle w:val="2"/>
        <w:jc w:val="center"/>
      </w:pPr>
      <w:r>
        <w:t>开题报告</w:t>
      </w:r>
    </w:p>
    <w:p w14:paraId="0FBA1684">
      <w:pPr>
        <w:pStyle w:val="2"/>
        <w:spacing w:before="240" w:after="240"/>
        <w:rPr>
          <w:rFonts w:eastAsia="黑体"/>
          <w:sz w:val="36"/>
          <w:szCs w:val="36"/>
        </w:rPr>
      </w:pPr>
      <w:r>
        <w:rPr>
          <w:rFonts w:eastAsia="黑体"/>
          <w:sz w:val="36"/>
          <w:szCs w:val="36"/>
        </w:rPr>
        <w:t>1. 绪论</w:t>
      </w:r>
      <w:bookmarkEnd w:id="2"/>
    </w:p>
    <w:p w14:paraId="082534C7">
      <w:pPr>
        <w:tabs>
          <w:tab w:val="left" w:pos="4480"/>
        </w:tabs>
        <w:spacing w:line="300" w:lineRule="auto"/>
        <w:ind w:firstLine="480" w:firstLineChars="200"/>
        <w:jc w:val="left"/>
        <w:rPr>
          <w:sz w:val="24"/>
        </w:rPr>
      </w:pPr>
      <w:bookmarkStart w:id="3" w:name="_Toc169115235"/>
      <w:r>
        <w:rPr>
          <w:sz w:val="24"/>
        </w:rPr>
        <w:t>随着电商和物流业务的迅猛发展，包裹处理量急剧增加，传统的人工分拣方式已无法满足高效处理和实时响应的要求。因此，需要一种智能化的解决方案来提高分拣效率、减少人工成本和降低错误率。</w:t>
      </w:r>
      <w:r>
        <w:rPr>
          <w:rFonts w:hint="eastAsia"/>
          <w:sz w:val="24"/>
        </w:rPr>
        <w:t>社会人口红利逐步衰减，劳动力成本压力较大，故降低全社会物流人力成本，降本增效迫在眉睫。</w:t>
      </w:r>
    </w:p>
    <w:p w14:paraId="6E097CAE">
      <w:pPr>
        <w:pStyle w:val="3"/>
        <w:spacing w:before="160" w:after="160" w:line="360" w:lineRule="auto"/>
        <w:rPr>
          <w:rFonts w:ascii="Times New Roman" w:hAnsi="Times New Roman"/>
        </w:rPr>
      </w:pPr>
      <w:r>
        <w:rPr>
          <w:rFonts w:ascii="Times New Roman" w:hAnsi="Times New Roman"/>
        </w:rPr>
        <w:t xml:space="preserve">1.1 </w:t>
      </w:r>
      <w:r>
        <w:rPr>
          <w:rFonts w:ascii="Times New Roman"/>
        </w:rPr>
        <w:t>研究背景</w:t>
      </w:r>
      <w:bookmarkEnd w:id="3"/>
    </w:p>
    <w:p w14:paraId="65F2E7F3">
      <w:pPr>
        <w:tabs>
          <w:tab w:val="left" w:pos="4480"/>
        </w:tabs>
        <w:spacing w:line="300" w:lineRule="auto"/>
        <w:ind w:firstLine="480" w:firstLineChars="200"/>
        <w:jc w:val="left"/>
        <w:rPr>
          <w:sz w:val="24"/>
        </w:rPr>
      </w:pPr>
      <w:bookmarkStart w:id="4" w:name="_Toc169115236"/>
      <w:r>
        <w:rPr>
          <w:rFonts w:hint="eastAsia"/>
          <w:sz w:val="24"/>
        </w:rPr>
        <w:t>得益于国家政策支持及电商快递行业的高速发展，中国自动分拣设备市场连续多年保持着高速增长态势，高效分拣产品需求旺盛，对分拣设备个性化功能要求高。对自动分拣机器人提出了更高的要求。我们设计了一款</w:t>
      </w:r>
      <w:r>
        <w:rPr>
          <w:sz w:val="24"/>
        </w:rPr>
        <w:t>物联网平台上的自动分拣机器人</w:t>
      </w:r>
      <w:r>
        <w:rPr>
          <w:rFonts w:hint="eastAsia"/>
          <w:sz w:val="24"/>
        </w:rPr>
        <w:t>，采用物联网技术架构。该架构包括从传感器数据采集、通过IP和TCP/UDP协议的传输、Arduino和STM32F407的控制、Node.js和Vite.js的前端开发，到Grafana和Prometheus的云端数据监控和可视化展示，使用ROS2作为中间件，其通信基于DDS协议。故本设计的</w:t>
      </w:r>
      <w:r>
        <w:rPr>
          <w:sz w:val="24"/>
        </w:rPr>
        <w:t>急速分拣机器人旨在满足现代物流行业对高效、准确和自动化分拣的需求。</w:t>
      </w:r>
      <w:r>
        <w:rPr>
          <w:rFonts w:hint="eastAsia"/>
          <w:sz w:val="24"/>
        </w:rPr>
        <w:t>与此同时，这款自动分拣机器人能够24小时不间断运行，不仅显著提升了工作效率，还大大降低了运行成本。与传统人工操作相比，它不需要休息，也没有人为误操作的风险，大幅度减少了人力成本和管理费用。</w:t>
      </w:r>
    </w:p>
    <w:p w14:paraId="66D564FE">
      <w:pPr>
        <w:tabs>
          <w:tab w:val="left" w:pos="4480"/>
        </w:tabs>
        <w:spacing w:line="300" w:lineRule="auto"/>
        <w:ind w:firstLine="480" w:firstLineChars="200"/>
        <w:jc w:val="center"/>
        <w:rPr>
          <w:sz w:val="24"/>
        </w:rPr>
      </w:pPr>
      <w:r>
        <w:rPr>
          <w:sz w:val="24"/>
        </w:rPr>
        <w:drawing>
          <wp:inline distT="0" distB="0" distL="0" distR="0">
            <wp:extent cx="4852670" cy="2707640"/>
            <wp:effectExtent l="0" t="0" r="5080" b="0"/>
            <wp:docPr id="5"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pic:cNvPicPr>
                      <a:picLocks noChangeAspect="1"/>
                    </pic:cNvPicPr>
                  </pic:nvPicPr>
                  <pic:blipFill>
                    <a:blip r:embed="rId7"/>
                    <a:stretch>
                      <a:fillRect/>
                    </a:stretch>
                  </pic:blipFill>
                  <pic:spPr>
                    <a:xfrm>
                      <a:off x="0" y="0"/>
                      <a:ext cx="4869222" cy="2717126"/>
                    </a:xfrm>
                    <a:prstGeom prst="rect">
                      <a:avLst/>
                    </a:prstGeom>
                  </pic:spPr>
                </pic:pic>
              </a:graphicData>
            </a:graphic>
          </wp:inline>
        </w:drawing>
      </w:r>
    </w:p>
    <w:p w14:paraId="23905FC2">
      <w:pPr>
        <w:tabs>
          <w:tab w:val="left" w:pos="4480"/>
        </w:tabs>
        <w:spacing w:line="300" w:lineRule="auto"/>
        <w:ind w:firstLine="480" w:firstLineChars="200"/>
        <w:jc w:val="center"/>
        <w:rPr>
          <w:sz w:val="24"/>
        </w:rPr>
      </w:pPr>
      <w:r>
        <w:rPr>
          <w:rFonts w:hint="eastAsia"/>
          <w:sz w:val="24"/>
        </w:rPr>
        <w:t>图1.社会劳动人口增长率</w:t>
      </w:r>
    </w:p>
    <w:p w14:paraId="74B65623">
      <w:pPr>
        <w:tabs>
          <w:tab w:val="left" w:pos="4480"/>
        </w:tabs>
        <w:spacing w:line="300" w:lineRule="auto"/>
        <w:ind w:firstLine="480" w:firstLineChars="200"/>
        <w:jc w:val="center"/>
        <w:rPr>
          <w:sz w:val="24"/>
        </w:rPr>
      </w:pPr>
      <w:r>
        <w:rPr>
          <w:sz w:val="24"/>
        </w:rPr>
        <w:drawing>
          <wp:inline distT="0" distB="0" distL="0" distR="0">
            <wp:extent cx="5579110" cy="1424940"/>
            <wp:effectExtent l="0" t="0" r="2540" b="381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8"/>
                    <a:stretch>
                      <a:fillRect/>
                    </a:stretch>
                  </pic:blipFill>
                  <pic:spPr>
                    <a:xfrm>
                      <a:off x="0" y="0"/>
                      <a:ext cx="5579110" cy="1424940"/>
                    </a:xfrm>
                    <a:prstGeom prst="rect">
                      <a:avLst/>
                    </a:prstGeom>
                  </pic:spPr>
                </pic:pic>
              </a:graphicData>
            </a:graphic>
          </wp:inline>
        </w:drawing>
      </w:r>
    </w:p>
    <w:p w14:paraId="3EC00039">
      <w:pPr>
        <w:tabs>
          <w:tab w:val="left" w:pos="4480"/>
        </w:tabs>
        <w:spacing w:line="300" w:lineRule="auto"/>
        <w:ind w:firstLine="480" w:firstLineChars="200"/>
        <w:jc w:val="center"/>
        <w:rPr>
          <w:sz w:val="24"/>
        </w:rPr>
      </w:pPr>
      <w:r>
        <w:rPr>
          <w:rFonts w:hint="eastAsia"/>
          <w:sz w:val="24"/>
        </w:rPr>
        <w:t>图2.自动分拣机器人需求量和市场占有率</w:t>
      </w:r>
    </w:p>
    <w:p w14:paraId="44C98530">
      <w:pPr>
        <w:pStyle w:val="3"/>
        <w:spacing w:before="160" w:after="160" w:line="360" w:lineRule="auto"/>
        <w:rPr>
          <w:rFonts w:ascii="Times New Roman" w:hAnsi="Times New Roman"/>
        </w:rPr>
      </w:pPr>
      <w:r>
        <w:rPr>
          <w:rFonts w:ascii="Times New Roman" w:hAnsi="Times New Roman"/>
        </w:rPr>
        <w:t>1.2 研究动机</w:t>
      </w:r>
      <w:bookmarkEnd w:id="4"/>
    </w:p>
    <w:p w14:paraId="288242B2">
      <w:pPr>
        <w:tabs>
          <w:tab w:val="left" w:pos="4480"/>
        </w:tabs>
        <w:spacing w:line="300" w:lineRule="auto"/>
        <w:ind w:firstLine="480" w:firstLineChars="200"/>
        <w:rPr>
          <w:sz w:val="24"/>
        </w:rPr>
      </w:pPr>
      <w:bookmarkStart w:id="5" w:name="_Toc169115237"/>
      <w:r>
        <w:rPr>
          <w:rFonts w:hint="eastAsia"/>
          <w:sz w:val="24"/>
        </w:rPr>
        <w:t>（1）单机械臂传输速率有限</w:t>
      </w:r>
    </w:p>
    <w:p w14:paraId="284566BB">
      <w:pPr>
        <w:tabs>
          <w:tab w:val="left" w:pos="4480"/>
        </w:tabs>
        <w:spacing w:line="300" w:lineRule="auto"/>
        <w:ind w:firstLine="480" w:firstLineChars="200"/>
        <w:rPr>
          <w:sz w:val="24"/>
        </w:rPr>
      </w:pPr>
      <w:r>
        <w:rPr>
          <w:rFonts w:hint="eastAsia"/>
          <w:sz w:val="24"/>
        </w:rPr>
        <w:t>机械臂均为</w:t>
      </w:r>
      <w:r>
        <w:rPr>
          <w:sz w:val="24"/>
        </w:rPr>
        <w:t>AGV</w:t>
      </w:r>
      <w:r>
        <w:rPr>
          <w:rFonts w:hint="eastAsia"/>
          <w:sz w:val="24"/>
        </w:rPr>
        <w:t>小车</w:t>
      </w:r>
      <w:r>
        <w:rPr>
          <w:sz w:val="24"/>
        </w:rPr>
        <w:t>单机械臂情况：</w:t>
      </w:r>
    </w:p>
    <w:p w14:paraId="0982D307">
      <w:pPr>
        <w:tabs>
          <w:tab w:val="left" w:pos="4480"/>
        </w:tabs>
        <w:spacing w:line="300" w:lineRule="auto"/>
        <w:ind w:firstLine="480" w:firstLineChars="200"/>
        <w:rPr>
          <w:sz w:val="24"/>
        </w:rPr>
      </w:pPr>
      <w:r>
        <w:rPr>
          <w:rFonts w:hint="eastAsia"/>
          <w:sz w:val="24"/>
        </w:rPr>
        <w:t>机械臂通常具有4到6轴的自由度，主要由电机控制。虽然电机能够流畅地实现PID等控制算法，但其质量大、成本高，并且需要较大的电流，导致性价比不高。此外，单一机械臂在较大范围内传送物品时效果有限，通常需要配合传送带来实现，这进一步增加了系统的整体成本。</w:t>
      </w:r>
    </w:p>
    <w:p w14:paraId="7AE664C5">
      <w:pPr>
        <w:tabs>
          <w:tab w:val="left" w:pos="4480"/>
        </w:tabs>
        <w:spacing w:line="300" w:lineRule="auto"/>
        <w:ind w:firstLine="480" w:firstLineChars="200"/>
        <w:rPr>
          <w:sz w:val="24"/>
        </w:rPr>
      </w:pPr>
      <w:r>
        <w:rPr>
          <w:rFonts w:hint="eastAsia"/>
          <w:sz w:val="24"/>
        </w:rPr>
        <w:t>（2）人和</w:t>
      </w:r>
      <w:r>
        <w:rPr>
          <w:sz w:val="24"/>
        </w:rPr>
        <w:t>单AGV小车</w:t>
      </w:r>
      <w:r>
        <w:rPr>
          <w:rFonts w:hint="eastAsia"/>
          <w:sz w:val="24"/>
        </w:rPr>
        <w:t>人机交互效率低</w:t>
      </w:r>
    </w:p>
    <w:p w14:paraId="73B4C05D">
      <w:pPr>
        <w:tabs>
          <w:tab w:val="left" w:pos="4480"/>
        </w:tabs>
        <w:spacing w:line="300" w:lineRule="auto"/>
        <w:ind w:firstLine="480" w:firstLineChars="200"/>
        <w:rPr>
          <w:sz w:val="24"/>
        </w:rPr>
      </w:pPr>
      <w:r>
        <w:rPr>
          <w:sz w:val="24"/>
        </w:rPr>
        <w:t>单AGV小车无法利用机械臂进行货物递送，需要人工传递，增加了用工成本。相比之下，使用机械臂进行分拣工作更为高效。单AGV小车的货品大小严格限制在单件，无法装载多种货品，必须严格封装，无法灵活运送。</w:t>
      </w:r>
    </w:p>
    <w:p w14:paraId="7844B814">
      <w:pPr>
        <w:tabs>
          <w:tab w:val="left" w:pos="4480"/>
        </w:tabs>
        <w:spacing w:line="300" w:lineRule="auto"/>
        <w:ind w:firstLine="480" w:firstLineChars="200"/>
        <w:rPr>
          <w:sz w:val="24"/>
        </w:rPr>
      </w:pPr>
      <w:r>
        <w:rPr>
          <w:rFonts w:hint="eastAsia"/>
          <w:sz w:val="24"/>
        </w:rPr>
        <w:t>（3）导航精度低</w:t>
      </w:r>
    </w:p>
    <w:p w14:paraId="7F56C0B0">
      <w:pPr>
        <w:tabs>
          <w:tab w:val="left" w:pos="4480"/>
        </w:tabs>
        <w:spacing w:line="300" w:lineRule="auto"/>
        <w:ind w:firstLine="480" w:firstLineChars="200"/>
        <w:rPr>
          <w:sz w:val="24"/>
        </w:rPr>
      </w:pPr>
      <w:r>
        <w:rPr>
          <w:sz w:val="24"/>
        </w:rPr>
        <w:t>AGV小车导航主要采用二维码定位，灵活性低，无法适应未来商品的多样性包装。多种定位技术的结合，如多传感器协同使用，能够提高准确度。目前的二维码定位只能在指定区域内运动，低底盘设计限制了其在不同地形下的运动能力，且无法避开突然出现的障碍物，具有局限性。</w:t>
      </w:r>
    </w:p>
    <w:p w14:paraId="3E2B0FA8">
      <w:pPr>
        <w:tabs>
          <w:tab w:val="left" w:pos="4480"/>
        </w:tabs>
        <w:spacing w:line="300" w:lineRule="auto"/>
        <w:ind w:firstLine="480" w:firstLineChars="200"/>
        <w:rPr>
          <w:sz w:val="24"/>
        </w:rPr>
      </w:pPr>
      <w:r>
        <w:rPr>
          <w:rFonts w:hint="eastAsia"/>
          <w:sz w:val="24"/>
        </w:rPr>
        <w:t>（4）非嵌入式主板造成的性能冗余</w:t>
      </w:r>
    </w:p>
    <w:p w14:paraId="15047348">
      <w:pPr>
        <w:tabs>
          <w:tab w:val="left" w:pos="4480"/>
        </w:tabs>
        <w:spacing w:line="300" w:lineRule="auto"/>
        <w:ind w:firstLine="480" w:firstLineChars="200"/>
        <w:rPr>
          <w:sz w:val="24"/>
        </w:rPr>
      </w:pPr>
      <w:r>
        <w:rPr>
          <w:sz w:val="24"/>
        </w:rPr>
        <w:t>行业内大量方案采用AMD64架构工控机，这类方案占地空间大，更支持PLC而非其他嵌入式设备。英特尔CPU存在性能冗余问题，而嵌入式设备需要的是低成本设备以实现大批量生产。工控机主板型号较少，无法根据自定义需求灵活调整，占用大量空间，不利于解决续航问题。</w:t>
      </w:r>
    </w:p>
    <w:p w14:paraId="66C73D10">
      <w:pPr>
        <w:tabs>
          <w:tab w:val="left" w:pos="4480"/>
        </w:tabs>
        <w:spacing w:line="300" w:lineRule="auto"/>
        <w:ind w:firstLine="480" w:firstLineChars="200"/>
        <w:rPr>
          <w:sz w:val="24"/>
        </w:rPr>
      </w:pPr>
      <w:r>
        <w:rPr>
          <w:rFonts w:hint="eastAsia"/>
          <w:sz w:val="24"/>
        </w:rPr>
        <w:t>（5）机器人载重有限，无法分类放置</w:t>
      </w:r>
    </w:p>
    <w:p w14:paraId="7BB34C47">
      <w:pPr>
        <w:tabs>
          <w:tab w:val="left" w:pos="4480"/>
        </w:tabs>
        <w:spacing w:line="300" w:lineRule="auto"/>
        <w:ind w:firstLine="480" w:firstLineChars="200"/>
        <w:rPr>
          <w:sz w:val="24"/>
        </w:rPr>
      </w:pPr>
      <w:r>
        <w:rPr>
          <w:sz w:val="24"/>
        </w:rPr>
        <w:t>机器人只能存放单一物件，车上没有完善的仓库，无法分类放置物体，也无法分类倾倒，场景具有局限性。</w:t>
      </w:r>
    </w:p>
    <w:p w14:paraId="359E1BEE">
      <w:pPr>
        <w:pStyle w:val="3"/>
        <w:spacing w:before="160" w:after="160" w:line="360" w:lineRule="auto"/>
        <w:rPr>
          <w:rFonts w:ascii="Times New Roman" w:hAnsi="Times New Roman"/>
        </w:rPr>
      </w:pPr>
      <w:r>
        <w:rPr>
          <w:rFonts w:ascii="Times New Roman" w:hAnsi="Times New Roman"/>
        </w:rPr>
        <w:t xml:space="preserve">1.3 </w:t>
      </w:r>
      <w:r>
        <w:rPr>
          <w:rFonts w:ascii="Times New Roman"/>
        </w:rPr>
        <w:t>要解决的问题</w:t>
      </w:r>
      <w:bookmarkEnd w:id="5"/>
    </w:p>
    <w:p w14:paraId="73393777">
      <w:pPr>
        <w:tabs>
          <w:tab w:val="left" w:pos="4480"/>
        </w:tabs>
        <w:spacing w:line="300" w:lineRule="auto"/>
        <w:ind w:firstLine="240" w:firstLineChars="100"/>
        <w:jc w:val="left"/>
        <w:rPr>
          <w:rFonts w:hint="eastAsia" w:ascii="宋体" w:hAnsi="宋体"/>
          <w:sz w:val="24"/>
        </w:rPr>
      </w:pPr>
      <w:r>
        <w:rPr>
          <w:rFonts w:hint="eastAsia" w:ascii="宋体" w:hAnsi="宋体"/>
          <w:sz w:val="24"/>
        </w:rPr>
        <w:t>为了应对上述问题，我们进行全面整合，得出一个高度可执行的实施方案，针对市面上机器人所出现的问题进行改进。与此同时，我们在系统的可靠性上进行了改进，我们对前端和后端开发进行了优化，采用分布式和容器化技术设计系统。这种设计不仅提高了系统的灵活性和可扩展性，还确保了各个组件之间的高效协作，从而实现更快速的响应和稳定的运行。这种全面的整合和优化将大大提高自动分拣机器人的整体性能，满足物流和电商行业对分拣效率和准确性的高要求。</w:t>
      </w:r>
    </w:p>
    <w:p w14:paraId="7C7C4D5B">
      <w:pPr>
        <w:tabs>
          <w:tab w:val="left" w:pos="4480"/>
        </w:tabs>
        <w:spacing w:line="300" w:lineRule="auto"/>
        <w:ind w:firstLine="240" w:firstLineChars="100"/>
        <w:jc w:val="left"/>
        <w:rPr>
          <w:rFonts w:hint="eastAsia" w:ascii="宋体" w:hAnsi="宋体"/>
          <w:sz w:val="24"/>
        </w:rPr>
      </w:pPr>
      <w:r>
        <w:rPr>
          <w:rFonts w:hint="eastAsia" w:ascii="宋体" w:hAnsi="宋体"/>
          <w:sz w:val="24"/>
        </w:rPr>
        <w:t>与此同时，我们设计的自动分拣机器人相较于传统自动分拣机器人在成本，物品传输效率，AGV小车灵活性、AGV导航</w:t>
      </w:r>
      <w:bookmarkStart w:id="6" w:name="_Hlk172581932"/>
      <w:r>
        <w:rPr>
          <w:rFonts w:hint="eastAsia" w:ascii="宋体" w:hAnsi="宋体"/>
          <w:sz w:val="24"/>
        </w:rPr>
        <w:t>、</w:t>
      </w:r>
      <w:bookmarkEnd w:id="6"/>
      <w:r>
        <w:rPr>
          <w:rFonts w:hint="eastAsia" w:ascii="宋体" w:hAnsi="宋体"/>
          <w:sz w:val="24"/>
        </w:rPr>
        <w:t>主板性能、载重能力、存储能力等方面具有许多优势。</w:t>
      </w:r>
    </w:p>
    <w:p w14:paraId="47116886">
      <w:pPr>
        <w:tabs>
          <w:tab w:val="left" w:pos="4480"/>
        </w:tabs>
        <w:spacing w:line="300" w:lineRule="auto"/>
        <w:ind w:firstLine="240" w:firstLineChars="100"/>
        <w:jc w:val="center"/>
        <w:rPr>
          <w:rFonts w:hint="eastAsia" w:ascii="宋体" w:hAnsi="宋体"/>
          <w:sz w:val="24"/>
        </w:rPr>
      </w:pPr>
      <w:r>
        <w:rPr>
          <w:rFonts w:ascii="宋体" w:hAnsi="宋体"/>
          <w:sz w:val="24"/>
        </w:rPr>
        <w:drawing>
          <wp:inline distT="0" distB="0" distL="0" distR="0">
            <wp:extent cx="5579110" cy="2108835"/>
            <wp:effectExtent l="0" t="0" r="2540" b="5715"/>
            <wp:docPr id="8709664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6640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110" cy="2108835"/>
                    </a:xfrm>
                    <a:prstGeom prst="rect">
                      <a:avLst/>
                    </a:prstGeom>
                  </pic:spPr>
                </pic:pic>
              </a:graphicData>
            </a:graphic>
          </wp:inline>
        </w:drawing>
      </w:r>
    </w:p>
    <w:p w14:paraId="56EA3D29">
      <w:pPr>
        <w:tabs>
          <w:tab w:val="left" w:pos="4480"/>
        </w:tabs>
        <w:spacing w:line="300" w:lineRule="auto"/>
        <w:ind w:firstLine="240" w:firstLineChars="100"/>
        <w:jc w:val="center"/>
        <w:rPr>
          <w:rFonts w:hint="eastAsia" w:ascii="宋体" w:hAnsi="宋体"/>
          <w:sz w:val="24"/>
        </w:rPr>
      </w:pPr>
      <w:r>
        <w:rPr>
          <w:rFonts w:hint="eastAsia" w:ascii="宋体" w:hAnsi="宋体"/>
          <w:sz w:val="24"/>
        </w:rPr>
        <w:t>图3.传统自动分拣机器人和现代自动分拣机器人区别</w:t>
      </w:r>
    </w:p>
    <w:p w14:paraId="25DB943C">
      <w:pPr>
        <w:numPr>
          <w:ilvl w:val="0"/>
          <w:numId w:val="1"/>
        </w:numPr>
        <w:tabs>
          <w:tab w:val="left" w:pos="4480"/>
        </w:tabs>
        <w:spacing w:line="300" w:lineRule="auto"/>
        <w:rPr>
          <w:rFonts w:hint="eastAsia" w:ascii="宋体" w:hAnsi="宋体"/>
          <w:sz w:val="24"/>
        </w:rPr>
      </w:pPr>
      <w:r>
        <w:rPr>
          <w:rFonts w:hint="eastAsia"/>
          <w:sz w:val="24"/>
        </w:rPr>
        <w:t>提高系统集成度。从感知层、传输层到控制层和云应用的全面整合，使得系统在各个环节之间实现了无缝连接和高效协作。感知层通过多种传感器实时采集环境和物品的信息，为系统提供必要的数据基础。这些数据经过传输层使用高效的协议，，如TCP/UDP和WebSocket，确保信息的快速、安全传输，支持实时决策和响应。</w:t>
      </w:r>
    </w:p>
    <w:p w14:paraId="73D28C33">
      <w:pPr>
        <w:numPr>
          <w:ilvl w:val="0"/>
          <w:numId w:val="1"/>
        </w:numPr>
        <w:tabs>
          <w:tab w:val="left" w:pos="4480"/>
        </w:tabs>
        <w:spacing w:line="300" w:lineRule="auto"/>
        <w:rPr>
          <w:sz w:val="24"/>
        </w:rPr>
      </w:pPr>
      <w:r>
        <w:rPr>
          <w:rFonts w:hint="eastAsia"/>
          <w:sz w:val="24"/>
        </w:rPr>
        <w:t>增强实时性与可靠性。基于ROS2和DDS协议的自动分拣机器人系统通过整合感知层、传输层、控制层和云应用层，确保系统具有实时响应能力和高可靠性的数据传输。在感知层，视觉传感器、条形码/二维码扫描器和重量传感器协同工作，捕捉并识别物品信息。ROS2中的图像处理节点使用OpenCV和机器学习算法来处理图像，实现物品的精确识别。同时，利用ZXing库在ROS2节点中实现高效的二维码识别和解码。在传输层，ROS2内置的DDS协议确保了数据的高效传输。通过DDS的发布-订阅模型，系统可以实现低延迟和高可靠性的数据通信。物品信息和传感器数据等通过定义的话题进行实时发布和订阅，确保数据在各个节点之间快速传递。服务和动作机制进一步增强了系统的灵活性，支持复杂的请求-响应交互。控制层通过ROS2实现对机器人的指令发送和动作控制。各控制节点接收到感知层的数据后，迅速处理并发送控制指令给执行机构，如机械臂和分拣装置，确保物品的准确分拣。云应用层通过ROS2与云平台的无缝集成，进行数据存储和分析，提供远程监控和系统优化建议。这种基于ROS2和DDS协议的实时数据处理和通信机制，确保了自动分拣机器人系统的高效运作，提升了系统的整体性能和稳定性。采用Vite.js和Three.js进行前端开发，Node.js进行后端开发，实现了高效的3D渲染和实时应用场景支持。</w:t>
      </w:r>
    </w:p>
    <w:p w14:paraId="6F596886">
      <w:pPr>
        <w:numPr>
          <w:ilvl w:val="0"/>
          <w:numId w:val="1"/>
        </w:numPr>
        <w:tabs>
          <w:tab w:val="left" w:pos="4480"/>
        </w:tabs>
        <w:spacing w:line="300" w:lineRule="auto"/>
        <w:rPr>
          <w:sz w:val="24"/>
        </w:rPr>
      </w:pPr>
      <w:r>
        <w:rPr>
          <w:rFonts w:hint="eastAsia"/>
          <w:sz w:val="24"/>
        </w:rPr>
        <w:t>使用分布式与容器化技术。通过Docker和Kubernetes实现应用的容器式部署和管理，提高了系统的灵活性和可扩展性。首先，分布式架构提高了系统的扩展性。通过将数据存储和处理分散到服务器上，可以轻松增加服务器数量来应对更大的数据量和更复杂的处理任务，而无需对机器人本身进行大幅度的硬件升级。这种架构使得系统能够灵活应对业务需求的变化。其次，分布式架构提高了数据处理的效率。服务器可以集中处理大量的数据分析和计算任务，利用其强大的处理能力和高效的存储系统，快速处理和响应机器人请求。这不仅减轻了机器人的计算负担，还确保了数据处理的准确性和及时性。</w:t>
      </w:r>
    </w:p>
    <w:p w14:paraId="540BE160">
      <w:pPr>
        <w:numPr>
          <w:ilvl w:val="0"/>
          <w:numId w:val="1"/>
        </w:numPr>
        <w:tabs>
          <w:tab w:val="left" w:pos="4480"/>
        </w:tabs>
        <w:spacing w:line="300" w:lineRule="auto"/>
        <w:rPr>
          <w:rFonts w:hint="eastAsia" w:ascii="宋体" w:hAnsi="宋体"/>
          <w:sz w:val="24"/>
        </w:rPr>
      </w:pPr>
      <w:r>
        <w:rPr>
          <w:rFonts w:hint="eastAsia"/>
          <w:sz w:val="24"/>
        </w:rPr>
        <w:t>使用国际标准的安全通讯与加密技术。通过采用多种安全技术，可以显著提高系统在面对潜在安全威胁时的稳定性和安全性。例如，在 Grafana 中实施防 XSS（跨站脚本攻击）和 CORS（跨域资源共享）攻击的措施，确保用户输入和输出的安全性，防止恶意代码注入和未经授权的跨域请求。此外，ROS2 提供了安全通信机制，如数据加密和认证，以保护数据传输的完整性和机密性。这些技术措施能够有效抵御各种网络攻击，确保系统的可靠运行和数据的安全，提升整个自动分拣机器人系统的安全性和稳定性。</w:t>
      </w:r>
    </w:p>
    <w:p w14:paraId="66D21416">
      <w:pPr>
        <w:numPr>
          <w:ilvl w:val="0"/>
          <w:numId w:val="1"/>
        </w:numPr>
        <w:tabs>
          <w:tab w:val="left" w:pos="4480"/>
        </w:tabs>
        <w:spacing w:line="300" w:lineRule="auto"/>
        <w:rPr>
          <w:sz w:val="24"/>
        </w:rPr>
      </w:pPr>
      <w:r>
        <w:rPr>
          <w:rFonts w:hint="eastAsia"/>
          <w:sz w:val="24"/>
        </w:rPr>
        <w:t>多功能机器人整合方案。我们开发了一种集成机械臂和AGV小车的多功能机器人。这种设计在AGV小车上安装了多轴机械臂，大大提升了运输与操作的灵活性。传统系统中，AGV小车通常依赖传送带来进行物品的传送，这种方法不仅增加了系统的复杂性和成本，还限制了其在不同场景中的应用。我们的多功能机器人通过将机械臂直接集成到AGV小车上，成功减少了对传送带的依赖，从而降低了整体成本。为了进一步优化成本，我们采用了大扭矩舵机替代传统电机。尽管舵机的成本相对较低，但它们仍能提供足够的动力来完成复杂的操作。通过利用样条函数，我们实现了舵机的灵活、流畅操作，使其在执行精细任务时表现出色。这种设计不仅降低了成本，还确保了机械臂在各类任务中的高效性和精确性。这种多功能机器人的应用范围非常广泛，可以在制造业、物流、仓储等领域中发挥重要作用。它不仅能够高效地完成物品的拾取和放置，还能灵活应对各种复杂的工作环境。通过集成先进的导航和定位技术，如多传感器协同工作和实时数据分析，我们的机器人能够在复杂的环境中自如导航，并避开突然出现的障碍物。总体来说，这种多功能机器人的开发，标志着AGV小车和机械臂技术的一次重要突破。它不仅在性能和成本上有显著优势，还展示了我们在机器人技术创新上的卓越能力。通过这种创新设计，我们期望能在多个行业中推动自动化进程，提高生产效率和灵活性，同时降低企业的运营成本。</w:t>
      </w:r>
    </w:p>
    <w:p w14:paraId="245985A2">
      <w:pPr>
        <w:numPr>
          <w:ilvl w:val="0"/>
          <w:numId w:val="1"/>
        </w:numPr>
        <w:tabs>
          <w:tab w:val="left" w:pos="4480"/>
        </w:tabs>
        <w:spacing w:line="300" w:lineRule="auto"/>
        <w:rPr>
          <w:sz w:val="24"/>
        </w:rPr>
      </w:pPr>
      <w:r>
        <w:rPr>
          <w:rFonts w:hint="eastAsia"/>
          <w:sz w:val="24"/>
        </w:rPr>
        <w:t>AGV小车导航技术的优化。本机器人通过集成多种传感器技术来实现高精度的导航和定位。这些传感器包括激光雷达、灰度传感器、里程计、惯性传感器和编码器，各自提供不同类型的数据，协同工作以确保机器人的定位准确度和灵活性。激光雷达能够快速扫描周围环境，生成高分辨率的三维地图，为机器人提供实时的位置信息和障碍物检测功能。灰度传感器则利用光强变化来检测地面标记和环境特征，进一步增强机器人的环境感知能力。里程计通过记录轮子转动的次数来计算机器人移动的距离和方向，而惯性传感器则通过测量加速度和角速度来提供机器人运动的姿态信息。这些数据可以弥补激光雷达在特定环境下的不足，确保机器人在各种地形和环境中都能保持稳定的定位。编码器通过检测电机轴的转动，提供精确的位置信息，帮助机器人实现精确的运动控制和导航。多传感器融合使得机器人能够综合利用各传感器的数据，进行误差校正和数据冗余，提高整体系统的可靠性和准确性。这种多传感器融合技术不仅提升了机器人的定位精度，还使其具备更高的灵活性和适应性，能够在复杂、多变的环境中高效地完成导航任务。通过实时分析和处理来自各传感器的数据，机器人可以快速响应环境变化，灵活调整导航路径，确保导航过程的安全性和稳定性。</w:t>
      </w:r>
    </w:p>
    <w:p w14:paraId="3AD09F03">
      <w:pPr>
        <w:numPr>
          <w:ilvl w:val="0"/>
          <w:numId w:val="1"/>
        </w:numPr>
        <w:tabs>
          <w:tab w:val="left" w:pos="4480"/>
        </w:tabs>
        <w:spacing w:line="300" w:lineRule="auto"/>
        <w:rPr>
          <w:sz w:val="24"/>
        </w:rPr>
      </w:pPr>
      <w:r>
        <w:rPr>
          <w:rFonts w:hint="eastAsia"/>
          <w:sz w:val="24"/>
        </w:rPr>
        <w:t>嵌入式系统的应用与优化。本机器人采用了嵌入式开发板地平线旭日派X3，实现了高效的性能和成本控制。地平线旭日派X3是一款高性能、低功耗的嵌入式开发板，专为边缘计算和智能设备设计。通过使用这款开发板，机器人在不牺牲性能的前提下，显著降低了硬件成本。此外，地平线旭日派X3还具有高度集成的特点，减少了对额外硬件的需求，从而节约了性能冗余。这意味着机器人可以在较低的硬件成本下，依然实现高性能的导航和定位功能。集成的高效通信接口和丰富的I/O资源，使得传感器数据的采集和处理更加顺畅，进一步提升了系统的稳定性和可靠性。</w:t>
      </w:r>
    </w:p>
    <w:p w14:paraId="7070F973">
      <w:pPr>
        <w:tabs>
          <w:tab w:val="left" w:pos="1080"/>
          <w:tab w:val="left" w:pos="4480"/>
        </w:tabs>
        <w:spacing w:line="300" w:lineRule="auto"/>
        <w:ind w:left="1080"/>
        <w:jc w:val="center"/>
        <w:rPr>
          <w:sz w:val="24"/>
        </w:rPr>
      </w:pPr>
      <w:r>
        <w:rPr>
          <w:sz w:val="24"/>
        </w:rPr>
        <w:drawing>
          <wp:inline distT="0" distB="0" distL="0" distR="0">
            <wp:extent cx="3176270" cy="1987550"/>
            <wp:effectExtent l="0" t="0" r="5080" b="0"/>
            <wp:docPr id="161235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8887"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76270" cy="1987550"/>
                    </a:xfrm>
                    <a:prstGeom prst="rect">
                      <a:avLst/>
                    </a:prstGeom>
                    <a:noFill/>
                  </pic:spPr>
                </pic:pic>
              </a:graphicData>
            </a:graphic>
          </wp:inline>
        </w:drawing>
      </w:r>
    </w:p>
    <w:p w14:paraId="391E95EE">
      <w:pPr>
        <w:tabs>
          <w:tab w:val="left" w:pos="1080"/>
          <w:tab w:val="left" w:pos="4480"/>
        </w:tabs>
        <w:spacing w:line="300" w:lineRule="auto"/>
        <w:ind w:left="1080"/>
        <w:jc w:val="center"/>
        <w:rPr>
          <w:sz w:val="24"/>
        </w:rPr>
      </w:pPr>
      <w:r>
        <w:rPr>
          <w:rFonts w:hint="eastAsia"/>
          <w:sz w:val="24"/>
        </w:rPr>
        <w:t>图4.地平线旭日派X3</w:t>
      </w:r>
    </w:p>
    <w:p w14:paraId="19685213">
      <w:pPr>
        <w:tabs>
          <w:tab w:val="left" w:pos="4480"/>
        </w:tabs>
        <w:spacing w:line="300" w:lineRule="auto"/>
        <w:ind w:left="1080"/>
        <w:rPr>
          <w:rFonts w:hint="eastAsia" w:ascii="宋体" w:hAnsi="宋体"/>
          <w:sz w:val="24"/>
        </w:rPr>
      </w:pPr>
      <w:r>
        <w:rPr>
          <w:rFonts w:hint="eastAsia"/>
          <w:sz w:val="24"/>
        </w:rPr>
        <w:t>通过采用地平线旭日派X3，机器人不仅实现了成本效益，还在性能上达到了预期目标。其灵活的开发环境和强大的扩展能力，使得机器人可以根据实际应用需求进行定制和优化，确保在各种复杂环境中的优异表现。</w:t>
      </w:r>
    </w:p>
    <w:p w14:paraId="053C33CD">
      <w:pPr>
        <w:numPr>
          <w:ilvl w:val="0"/>
          <w:numId w:val="1"/>
        </w:numPr>
        <w:tabs>
          <w:tab w:val="left" w:pos="4480"/>
        </w:tabs>
        <w:spacing w:line="300" w:lineRule="auto"/>
        <w:rPr>
          <w:sz w:val="24"/>
        </w:rPr>
      </w:pPr>
      <w:r>
        <w:rPr>
          <w:rFonts w:hint="eastAsia"/>
          <w:sz w:val="24"/>
        </w:rPr>
        <w:t>机器人存储与分类系统。本机器人内置多层存储系统，专为AGV小车设计，能够按类别高效存储和分发物品。该系统采用分层结构，顶部用于存放轻量和常用物品，中层则适合中等重量和体积的货物，而底层则专门设计用于存放较重或体积较大的物品。这种分类存储不仅提高了物品的存取效率，还增强了机器人在不同场景下的适用性和功能性。例如，在仓库中，机器人可以快速从不同层级获取所需物品，实现高效的物料搬运和分拣操作。同时，该设计也支持灵活的存储空间管理，能够根据实际需求动态调整存储布局，从而提升整个系统的操作灵活性和响应速度。通过这种多层存储系统，机器人能够更好地适应多样化的物流环境，满足不同用户的需求。</w:t>
      </w:r>
    </w:p>
    <w:p w14:paraId="719BE456">
      <w:pPr>
        <w:tabs>
          <w:tab w:val="left" w:pos="1080"/>
          <w:tab w:val="left" w:pos="4480"/>
        </w:tabs>
        <w:spacing w:line="300" w:lineRule="auto"/>
        <w:ind w:left="1080"/>
        <w:jc w:val="center"/>
        <w:rPr>
          <w:sz w:val="24"/>
        </w:rPr>
      </w:pPr>
      <w:r>
        <w:drawing>
          <wp:inline distT="0" distB="0" distL="0" distR="0">
            <wp:extent cx="4977130" cy="1360805"/>
            <wp:effectExtent l="0" t="0" r="0" b="0"/>
            <wp:docPr id="569919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9448" name="图片 3"/>
                    <pic:cNvPicPr>
                      <a:picLocks noChangeAspect="1"/>
                    </pic:cNvPicPr>
                  </pic:nvPicPr>
                  <pic:blipFill>
                    <a:blip r:embed="rId11">
                      <a:extLst>
                        <a:ext uri="{28A0092B-C50C-407E-A947-70E740481C1C}">
                          <a14:useLocalDpi xmlns:a14="http://schemas.microsoft.com/office/drawing/2010/main" val="0"/>
                        </a:ext>
                      </a:extLst>
                    </a:blip>
                    <a:srcRect t="15086" b="41997"/>
                    <a:stretch>
                      <a:fillRect/>
                    </a:stretch>
                  </pic:blipFill>
                  <pic:spPr>
                    <a:xfrm>
                      <a:off x="0" y="0"/>
                      <a:ext cx="4988879" cy="1364181"/>
                    </a:xfrm>
                    <a:prstGeom prst="rect">
                      <a:avLst/>
                    </a:prstGeom>
                    <a:ln>
                      <a:noFill/>
                    </a:ln>
                  </pic:spPr>
                </pic:pic>
              </a:graphicData>
            </a:graphic>
          </wp:inline>
        </w:drawing>
      </w:r>
    </w:p>
    <w:p w14:paraId="52215B8C">
      <w:pPr>
        <w:tabs>
          <w:tab w:val="left" w:pos="4480"/>
        </w:tabs>
        <w:spacing w:line="300" w:lineRule="auto"/>
        <w:ind w:left="1080"/>
        <w:jc w:val="center"/>
        <w:rPr>
          <w:rFonts w:hint="eastAsia" w:ascii="宋体" w:hAnsi="宋体"/>
          <w:sz w:val="24"/>
        </w:rPr>
      </w:pPr>
      <w:r>
        <w:rPr>
          <w:rFonts w:hint="eastAsia"/>
          <w:sz w:val="24"/>
        </w:rPr>
        <w:t>图5.机器人仓库</w:t>
      </w:r>
    </w:p>
    <w:p w14:paraId="5F4B5955">
      <w:pPr>
        <w:sectPr>
          <w:pgSz w:w="11906" w:h="16838"/>
          <w:pgMar w:top="1440" w:right="1800" w:bottom="1440" w:left="1800" w:header="851" w:footer="992" w:gutter="0"/>
          <w:pgNumType w:start="1"/>
          <w:cols w:space="720" w:num="1"/>
          <w:docGrid w:type="lines" w:linePitch="312" w:charSpace="0"/>
        </w:sectPr>
      </w:pPr>
    </w:p>
    <w:p w14:paraId="1DD4517D">
      <w:pPr>
        <w:pStyle w:val="2"/>
        <w:spacing w:before="240" w:after="240"/>
        <w:rPr>
          <w:rFonts w:eastAsia="黑体"/>
          <w:sz w:val="36"/>
          <w:szCs w:val="36"/>
        </w:rPr>
      </w:pPr>
      <w:bookmarkStart w:id="7" w:name="_Toc169115238"/>
      <w:r>
        <w:rPr>
          <w:rFonts w:eastAsia="黑体"/>
          <w:sz w:val="36"/>
          <w:szCs w:val="36"/>
        </w:rPr>
        <w:t>2.相关研究</w:t>
      </w:r>
      <w:bookmarkEnd w:id="7"/>
    </w:p>
    <w:p w14:paraId="7546E76C">
      <w:pPr>
        <w:pStyle w:val="3"/>
        <w:rPr>
          <w:rFonts w:hint="eastAsia" w:ascii="黑体" w:hAnsi="黑体"/>
        </w:rPr>
      </w:pPr>
      <w:bookmarkStart w:id="8" w:name="_Toc169115239"/>
      <w:r>
        <w:rPr>
          <w:rFonts w:hint="eastAsia" w:ascii="黑体" w:hAnsi="黑体"/>
        </w:rPr>
        <w:t>2.1国内相关研究</w:t>
      </w:r>
      <w:bookmarkEnd w:id="8"/>
    </w:p>
    <w:p w14:paraId="16182AAB">
      <w:pPr>
        <w:spacing w:line="300" w:lineRule="auto"/>
        <w:ind w:firstLine="480" w:firstLineChars="200"/>
        <w:rPr>
          <w:rFonts w:hint="eastAsia" w:ascii="宋体" w:hAnsi="宋体"/>
          <w:sz w:val="24"/>
        </w:rPr>
      </w:pPr>
      <w:bookmarkStart w:id="9" w:name="_Toc169115244"/>
      <w:r>
        <w:rPr>
          <w:rFonts w:hint="eastAsia" w:ascii="宋体" w:hAnsi="宋体"/>
          <w:sz w:val="24"/>
        </w:rPr>
        <w:t>近年来，国内在自动分拣机器人领域的研究主要集中在以下几个方面：</w:t>
      </w:r>
    </w:p>
    <w:p w14:paraId="3829ADA6">
      <w:pPr>
        <w:pStyle w:val="4"/>
        <w:rPr>
          <w:rFonts w:hint="eastAsia" w:ascii="黑体" w:hAnsi="黑体" w:eastAsia="黑体"/>
          <w:sz w:val="28"/>
          <w:szCs w:val="28"/>
        </w:rPr>
      </w:pPr>
      <w:r>
        <w:rPr>
          <w:rFonts w:hint="eastAsia" w:ascii="黑体" w:hAnsi="黑体" w:eastAsia="黑体"/>
          <w:sz w:val="28"/>
          <w:szCs w:val="28"/>
        </w:rPr>
        <w:t>1. 技术进展与应用</w:t>
      </w:r>
    </w:p>
    <w:p w14:paraId="025EBDE9">
      <w:pPr>
        <w:spacing w:line="300" w:lineRule="auto"/>
        <w:ind w:firstLine="480" w:firstLineChars="200"/>
        <w:rPr>
          <w:rFonts w:hint="eastAsia" w:ascii="宋体" w:hAnsi="宋体"/>
          <w:sz w:val="24"/>
        </w:rPr>
      </w:pPr>
      <w:r>
        <w:rPr>
          <w:rFonts w:hint="eastAsia" w:ascii="宋体" w:hAnsi="宋体"/>
          <w:sz w:val="24"/>
        </w:rPr>
        <w:t>自适应机器人功能：国内企业如通快（Trumpf）在自动分拣领域取得了突破性进展，其SortMaster Vision产品引入了自适应机器人功能，包括自动感知和机器人路径规划，利用人工智能支持的图像识别技术自主识别分离的部件，并自动计算机器人的运动计划。</w:t>
      </w:r>
    </w:p>
    <w:p w14:paraId="5CC60D0E">
      <w:pPr>
        <w:spacing w:line="300" w:lineRule="auto"/>
        <w:ind w:firstLine="480" w:firstLineChars="200"/>
        <w:rPr>
          <w:rFonts w:hint="eastAsia" w:ascii="宋体" w:hAnsi="宋体"/>
          <w:sz w:val="24"/>
        </w:rPr>
      </w:pPr>
      <w:r>
        <w:rPr>
          <w:rFonts w:hint="eastAsia" w:ascii="宋体" w:hAnsi="宋体"/>
          <w:sz w:val="24"/>
        </w:rPr>
        <w:t>竞赛用自动分拣机器人研究与设计：国内学者在自动分拣机器人的研究与设计方面取得了成果，如循迹系统、红外光电开关定位、Openmv视觉模块等技术的应用，提升了工件分拣的速率。</w:t>
      </w:r>
    </w:p>
    <w:p w14:paraId="34EFCB9C">
      <w:pPr>
        <w:pStyle w:val="4"/>
        <w:rPr>
          <w:rFonts w:hint="eastAsia" w:ascii="黑体" w:hAnsi="黑体" w:eastAsia="黑体"/>
          <w:sz w:val="28"/>
          <w:szCs w:val="28"/>
        </w:rPr>
      </w:pPr>
      <w:r>
        <w:rPr>
          <w:rFonts w:hint="eastAsia" w:ascii="黑体" w:hAnsi="黑体" w:eastAsia="黑体"/>
          <w:sz w:val="28"/>
          <w:szCs w:val="28"/>
        </w:rPr>
        <w:t>2. 市场应用与规模</w:t>
      </w:r>
    </w:p>
    <w:p w14:paraId="67529984">
      <w:pPr>
        <w:spacing w:line="300" w:lineRule="auto"/>
        <w:ind w:firstLine="480" w:firstLineChars="200"/>
        <w:rPr>
          <w:rFonts w:hint="eastAsia" w:ascii="宋体" w:hAnsi="宋体"/>
          <w:sz w:val="24"/>
        </w:rPr>
      </w:pPr>
      <w:r>
        <w:rPr>
          <w:rFonts w:hint="eastAsia" w:ascii="宋体" w:hAnsi="宋体"/>
          <w:sz w:val="24"/>
        </w:rPr>
        <w:t>市场规模增长：中国的自动分拣设备市场规模持续增长，预计2024年市场规模约213.5亿元，年均增长率约29%。</w:t>
      </w:r>
    </w:p>
    <w:p w14:paraId="13FF2A47">
      <w:pPr>
        <w:spacing w:line="300" w:lineRule="auto"/>
        <w:ind w:firstLine="480" w:firstLineChars="200"/>
        <w:rPr>
          <w:rFonts w:hint="eastAsia" w:ascii="宋体" w:hAnsi="宋体"/>
          <w:sz w:val="24"/>
        </w:rPr>
      </w:pPr>
      <w:r>
        <w:rPr>
          <w:rFonts w:hint="eastAsia" w:ascii="宋体" w:hAnsi="宋体"/>
          <w:sz w:val="24"/>
        </w:rPr>
        <w:t>企业竞争格局：国内自动分拣设备行业参与厂商主要分为国际知名物流自动化设备企业、拥有研究院所和国企背景的物流自动化设备企业、具备技术实力的民营企业三大类。国内企业在技术创新上实现突破，自动分拣系统及设备的运行效率、准确率、稳定性等方面取得巨大发展。</w:t>
      </w:r>
    </w:p>
    <w:p w14:paraId="3F059FB7">
      <w:pPr>
        <w:pStyle w:val="4"/>
        <w:rPr>
          <w:rFonts w:hint="eastAsia" w:ascii="黑体" w:hAnsi="黑体" w:eastAsia="黑体"/>
          <w:sz w:val="28"/>
          <w:szCs w:val="28"/>
        </w:rPr>
      </w:pPr>
      <w:r>
        <w:rPr>
          <w:rFonts w:hint="eastAsia" w:ascii="黑体" w:hAnsi="黑体" w:eastAsia="黑体"/>
          <w:sz w:val="28"/>
          <w:szCs w:val="28"/>
        </w:rPr>
        <w:t>3. 政策支持</w:t>
      </w:r>
    </w:p>
    <w:p w14:paraId="328467A6">
      <w:pPr>
        <w:spacing w:line="300" w:lineRule="auto"/>
        <w:ind w:firstLine="480" w:firstLineChars="200"/>
        <w:rPr>
          <w:rFonts w:hint="eastAsia" w:ascii="宋体" w:hAnsi="宋体"/>
          <w:sz w:val="24"/>
        </w:rPr>
      </w:pPr>
      <w:r>
        <w:rPr>
          <w:rFonts w:hint="eastAsia" w:ascii="宋体" w:hAnsi="宋体"/>
          <w:sz w:val="24"/>
        </w:rPr>
        <w:t>“机器人+”应用行动实施方案：工业和信息化部等十七部门印发了“机器人+”应用行动实施方案，旨在推动机器人技术在各行业的应用，包括自动分拣机器人。</w:t>
      </w:r>
    </w:p>
    <w:p w14:paraId="1C891363">
      <w:pPr>
        <w:pStyle w:val="4"/>
        <w:rPr>
          <w:rFonts w:hint="eastAsia" w:ascii="黑体" w:hAnsi="黑体" w:eastAsia="黑体"/>
          <w:sz w:val="28"/>
          <w:szCs w:val="28"/>
        </w:rPr>
      </w:pPr>
      <w:r>
        <w:rPr>
          <w:rFonts w:hint="eastAsia" w:ascii="黑体" w:hAnsi="黑体" w:eastAsia="黑体"/>
          <w:sz w:val="28"/>
          <w:szCs w:val="28"/>
        </w:rPr>
        <w:t>4. 投资前景与趋势</w:t>
      </w:r>
    </w:p>
    <w:p w14:paraId="5659FFD6">
      <w:pPr>
        <w:spacing w:line="300" w:lineRule="auto"/>
        <w:ind w:firstLine="480" w:firstLineChars="200"/>
        <w:rPr>
          <w:rFonts w:hint="eastAsia" w:ascii="宋体" w:hAnsi="宋体"/>
          <w:sz w:val="24"/>
        </w:rPr>
      </w:pPr>
      <w:r>
        <w:rPr>
          <w:rFonts w:hint="eastAsia" w:ascii="宋体" w:hAnsi="宋体"/>
          <w:sz w:val="24"/>
        </w:rPr>
        <w:t>投资趋势分析：自动分拣机器人行业的投资趋势分析显示，行业具有投资价值与机会，同时也存在投资风险，需要进行战略思考和经营策略分析。</w:t>
      </w:r>
    </w:p>
    <w:p w14:paraId="26762274">
      <w:pPr>
        <w:spacing w:line="300" w:lineRule="auto"/>
        <w:ind w:firstLine="480" w:firstLineChars="200"/>
        <w:rPr>
          <w:rFonts w:hint="eastAsia" w:ascii="宋体" w:hAnsi="宋体"/>
          <w:sz w:val="24"/>
        </w:rPr>
      </w:pPr>
      <w:r>
        <w:rPr>
          <w:rFonts w:hint="eastAsia" w:ascii="宋体" w:hAnsi="宋体"/>
          <w:sz w:val="24"/>
        </w:rPr>
        <w:t>行业投资前景：2024-2030年自动分拣机器人行业的投资前景被看好，行业投资前景建议研究提供了细分行业的投资建议。</w:t>
      </w:r>
    </w:p>
    <w:p w14:paraId="1D14936F">
      <w:pPr>
        <w:pStyle w:val="4"/>
        <w:rPr>
          <w:rFonts w:hint="eastAsia" w:ascii="黑体" w:hAnsi="黑体" w:eastAsia="黑体"/>
          <w:sz w:val="28"/>
          <w:szCs w:val="28"/>
        </w:rPr>
      </w:pPr>
      <w:r>
        <w:rPr>
          <w:rFonts w:hint="eastAsia" w:ascii="黑体" w:hAnsi="黑体" w:eastAsia="黑体"/>
          <w:sz w:val="28"/>
          <w:szCs w:val="28"/>
        </w:rPr>
        <w:t>5. 行业竞争策略</w:t>
      </w:r>
    </w:p>
    <w:p w14:paraId="05A38DAB">
      <w:pPr>
        <w:spacing w:line="300" w:lineRule="auto"/>
        <w:ind w:firstLine="480" w:firstLineChars="200"/>
        <w:rPr>
          <w:rFonts w:hint="eastAsia" w:ascii="宋体" w:hAnsi="宋体"/>
          <w:sz w:val="24"/>
        </w:rPr>
      </w:pPr>
      <w:r>
        <w:rPr>
          <w:rFonts w:hint="eastAsia" w:ascii="宋体" w:hAnsi="宋体"/>
          <w:sz w:val="24"/>
        </w:rPr>
        <w:t>竞争策略建议：自动分拣机器人渠道竞争策略、品牌竞争策略、价格竞争策略、客户服务策略等被提出，以指导企业在激烈的市场竞争中保持竞争力。</w:t>
      </w:r>
    </w:p>
    <w:p w14:paraId="6E7E9A9B">
      <w:pPr>
        <w:pStyle w:val="4"/>
        <w:rPr>
          <w:rFonts w:hint="eastAsia" w:ascii="黑体" w:hAnsi="黑体" w:eastAsia="黑体"/>
          <w:sz w:val="28"/>
          <w:szCs w:val="28"/>
        </w:rPr>
      </w:pPr>
      <w:r>
        <w:rPr>
          <w:rFonts w:hint="eastAsia" w:ascii="黑体" w:hAnsi="黑体" w:eastAsia="黑体"/>
          <w:sz w:val="28"/>
          <w:szCs w:val="28"/>
        </w:rPr>
        <w:t>6. 行业发展趋势</w:t>
      </w:r>
    </w:p>
    <w:p w14:paraId="09FE2313">
      <w:pPr>
        <w:spacing w:line="300" w:lineRule="auto"/>
        <w:ind w:firstLine="480" w:firstLineChars="200"/>
        <w:rPr>
          <w:rFonts w:hint="eastAsia" w:ascii="宋体" w:hAnsi="宋体"/>
          <w:sz w:val="24"/>
        </w:rPr>
      </w:pPr>
      <w:r>
        <w:rPr>
          <w:rFonts w:hint="eastAsia" w:ascii="宋体" w:hAnsi="宋体"/>
          <w:sz w:val="24"/>
        </w:rPr>
        <w:t>智能化与灵活性：未来自动分拣机器人将更加智能化和灵活，5G和物联网技术的应用将提高分拣效率和准确性，机器人将具备更高的自主学习能力，通过深度学习算法优化分拣路径和策略</w:t>
      </w:r>
    </w:p>
    <w:p w14:paraId="22177EE4">
      <w:pPr>
        <w:pStyle w:val="3"/>
      </w:pPr>
      <w:r>
        <w:rPr>
          <w:rFonts w:hint="eastAsia" w:ascii="宋体" w:hAnsi="宋体" w:eastAsia="宋体"/>
          <w:b w:val="0"/>
          <w:bCs w:val="0"/>
          <w:sz w:val="24"/>
          <w:szCs w:val="24"/>
        </w:rPr>
        <w:t>。</w:t>
      </w:r>
      <w:r>
        <w:rPr>
          <w:rFonts w:hint="eastAsia" w:ascii="黑体" w:hAnsi="黑体"/>
        </w:rPr>
        <w:t>2.2国外相关研究</w:t>
      </w:r>
      <w:bookmarkEnd w:id="9"/>
    </w:p>
    <w:p w14:paraId="7721DB38">
      <w:pPr>
        <w:spacing w:line="300" w:lineRule="auto"/>
        <w:ind w:firstLine="480" w:firstLineChars="200"/>
        <w:rPr>
          <w:rFonts w:hint="eastAsia" w:ascii="宋体" w:hAnsi="宋体"/>
          <w:sz w:val="24"/>
        </w:rPr>
      </w:pPr>
      <w:bookmarkStart w:id="10" w:name="_Toc169115250"/>
      <w:r>
        <w:rPr>
          <w:rFonts w:hint="eastAsia" w:ascii="宋体" w:hAnsi="宋体"/>
          <w:sz w:val="24"/>
        </w:rPr>
        <w:t>近年来，国外在自动分拣机器人领域的研究主要集中在以下几个方面：</w:t>
      </w:r>
    </w:p>
    <w:p w14:paraId="1BE534B8">
      <w:pPr>
        <w:pStyle w:val="4"/>
        <w:rPr>
          <w:rFonts w:hint="eastAsia" w:ascii="黑体" w:hAnsi="黑体" w:eastAsia="黑体"/>
          <w:sz w:val="28"/>
          <w:szCs w:val="28"/>
        </w:rPr>
      </w:pPr>
      <w:r>
        <w:rPr>
          <w:rFonts w:ascii="黑体" w:hAnsi="黑体" w:eastAsia="黑体"/>
          <w:sz w:val="28"/>
          <w:szCs w:val="28"/>
        </w:rPr>
        <w:t>1. 技术进展与应用</w:t>
      </w:r>
    </w:p>
    <w:p w14:paraId="4324333C">
      <w:pPr>
        <w:spacing w:line="300" w:lineRule="auto"/>
        <w:ind w:firstLine="480" w:firstLineChars="200"/>
        <w:rPr>
          <w:rFonts w:hint="eastAsia" w:ascii="宋体" w:hAnsi="宋体"/>
          <w:sz w:val="24"/>
        </w:rPr>
      </w:pPr>
      <w:r>
        <w:rPr>
          <w:rFonts w:ascii="宋体" w:hAnsi="宋体"/>
          <w:sz w:val="24"/>
        </w:rPr>
        <w:t>工业机器人自动分拣系统：国外研究者在工业机器人自动分拣系统方面进行了深入研究，特别是在物联网机器人技术（Internet of Robotic Things）的应用上。这些系统能够通过先进的传感器和控制系统，提高分拣效率和准确性。</w:t>
      </w:r>
    </w:p>
    <w:p w14:paraId="5ECE6E12">
      <w:pPr>
        <w:spacing w:line="300" w:lineRule="auto"/>
        <w:ind w:firstLine="480" w:firstLineChars="200"/>
        <w:rPr>
          <w:rFonts w:hint="eastAsia" w:ascii="宋体" w:hAnsi="宋体"/>
          <w:sz w:val="24"/>
        </w:rPr>
      </w:pPr>
      <w:r>
        <w:rPr>
          <w:rFonts w:ascii="宋体" w:hAnsi="宋体"/>
          <w:sz w:val="24"/>
        </w:rPr>
        <w:t>深度学习与机器视觉：在机器人抓取和分拣领域，深度学习技术被广泛用于提高对象识别和抓取的准确性。研究者们利用深度图像学习来规划无纹理平面物体的抓取，以及开发基于图像处理和随机森林的机器人抓取检测系统。</w:t>
      </w:r>
    </w:p>
    <w:p w14:paraId="30618A3F">
      <w:pPr>
        <w:spacing w:line="300" w:lineRule="auto"/>
        <w:ind w:firstLine="480" w:firstLineChars="200"/>
        <w:rPr>
          <w:rFonts w:hint="eastAsia" w:ascii="宋体" w:hAnsi="宋体"/>
          <w:sz w:val="24"/>
        </w:rPr>
      </w:pPr>
      <w:r>
        <w:rPr>
          <w:rFonts w:ascii="宋体" w:hAnsi="宋体"/>
          <w:sz w:val="24"/>
        </w:rPr>
        <w:t>机器人路径规划：国外研究者也在机器人路径规划方面取得了进展，特别是在传感器反馈用于工业应用的路径规划。</w:t>
      </w:r>
    </w:p>
    <w:p w14:paraId="29016755">
      <w:pPr>
        <w:pStyle w:val="4"/>
        <w:rPr>
          <w:rFonts w:hint="eastAsia" w:ascii="黑体" w:hAnsi="黑体" w:eastAsia="黑体"/>
          <w:sz w:val="28"/>
          <w:szCs w:val="28"/>
        </w:rPr>
      </w:pPr>
      <w:r>
        <w:rPr>
          <w:rFonts w:ascii="黑体" w:hAnsi="黑体" w:eastAsia="黑体"/>
          <w:sz w:val="28"/>
          <w:szCs w:val="28"/>
        </w:rPr>
        <w:t>2. 全球市场分析</w:t>
      </w:r>
    </w:p>
    <w:p w14:paraId="35E5F68E">
      <w:pPr>
        <w:spacing w:line="300" w:lineRule="auto"/>
        <w:ind w:firstLine="480" w:firstLineChars="200"/>
        <w:rPr>
          <w:rFonts w:hint="eastAsia" w:ascii="宋体" w:hAnsi="宋体"/>
          <w:sz w:val="24"/>
        </w:rPr>
      </w:pPr>
      <w:r>
        <w:rPr>
          <w:rFonts w:ascii="宋体" w:hAnsi="宋体"/>
          <w:sz w:val="24"/>
        </w:rPr>
        <w:t>市场规模与预测：全球自动分拣系统市场在202</w:t>
      </w:r>
      <w:r>
        <w:rPr>
          <w:rFonts w:hint="eastAsia" w:ascii="宋体" w:hAnsi="宋体"/>
          <w:sz w:val="24"/>
        </w:rPr>
        <w:t>4</w:t>
      </w:r>
      <w:r>
        <w:rPr>
          <w:rFonts w:ascii="宋体" w:hAnsi="宋体"/>
          <w:sz w:val="24"/>
        </w:rPr>
        <w:t>年的市值为49.47亿美元，预计到20</w:t>
      </w:r>
      <w:r>
        <w:rPr>
          <w:rFonts w:hint="eastAsia" w:ascii="宋体" w:hAnsi="宋体"/>
          <w:sz w:val="24"/>
        </w:rPr>
        <w:t>30</w:t>
      </w:r>
      <w:r>
        <w:rPr>
          <w:rFonts w:ascii="宋体" w:hAnsi="宋体"/>
          <w:sz w:val="24"/>
        </w:rPr>
        <w:t>年将以5.2%的复合年增长率增长至70.47亿美元。</w:t>
      </w:r>
    </w:p>
    <w:p w14:paraId="523074C9">
      <w:pPr>
        <w:spacing w:line="300" w:lineRule="auto"/>
        <w:ind w:firstLine="480" w:firstLineChars="200"/>
        <w:rPr>
          <w:rFonts w:hint="eastAsia" w:ascii="宋体" w:hAnsi="宋体"/>
          <w:sz w:val="24"/>
        </w:rPr>
      </w:pPr>
      <w:r>
        <w:rPr>
          <w:rFonts w:ascii="宋体" w:hAnsi="宋体"/>
          <w:sz w:val="24"/>
        </w:rPr>
        <w:t>区域市场分析：欧洲在自动分拣系统市场中占据主导地位，市场份额为34.73%，这归因于交通和物流部门的需求增长。</w:t>
      </w:r>
    </w:p>
    <w:p w14:paraId="27FD1CA3">
      <w:pPr>
        <w:pStyle w:val="4"/>
        <w:rPr>
          <w:rFonts w:hint="eastAsia" w:ascii="黑体" w:hAnsi="黑体" w:eastAsia="黑体"/>
          <w:sz w:val="28"/>
          <w:szCs w:val="28"/>
        </w:rPr>
      </w:pPr>
      <w:r>
        <w:rPr>
          <w:rFonts w:ascii="黑体" w:hAnsi="黑体" w:eastAsia="黑体"/>
          <w:sz w:val="28"/>
          <w:szCs w:val="28"/>
        </w:rPr>
        <w:t>3. 行业趋势与可能性</w:t>
      </w:r>
    </w:p>
    <w:p w14:paraId="344055FC">
      <w:pPr>
        <w:spacing w:line="300" w:lineRule="auto"/>
        <w:ind w:firstLine="480" w:firstLineChars="200"/>
        <w:rPr>
          <w:rFonts w:hint="eastAsia" w:ascii="宋体" w:hAnsi="宋体"/>
          <w:sz w:val="24"/>
        </w:rPr>
      </w:pPr>
      <w:r>
        <w:rPr>
          <w:rFonts w:ascii="宋体" w:hAnsi="宋体"/>
          <w:sz w:val="24"/>
        </w:rPr>
        <w:t>工业机器人的先进应用：国外研究者探讨了工业机器人的先进应用，包括分拣技术，这些技术基于一系列性能指标进行技术分析。</w:t>
      </w:r>
    </w:p>
    <w:p w14:paraId="232F63F0">
      <w:pPr>
        <w:spacing w:line="300" w:lineRule="auto"/>
        <w:ind w:firstLine="480" w:firstLineChars="200"/>
        <w:rPr>
          <w:rFonts w:hint="eastAsia" w:ascii="宋体" w:hAnsi="宋体"/>
          <w:sz w:val="24"/>
        </w:rPr>
      </w:pPr>
      <w:r>
        <w:rPr>
          <w:rFonts w:ascii="宋体" w:hAnsi="宋体"/>
          <w:sz w:val="24"/>
        </w:rPr>
        <w:t>机器人管理与布局设计优化：在自动分拣系统（RSS）的研究中，国外研究者关注任务分配问题，目标是最小化分拣制作跨度时间，并采用旅行时间模型和混合整数规划模型。</w:t>
      </w:r>
    </w:p>
    <w:p w14:paraId="6C19BB49">
      <w:pPr>
        <w:pStyle w:val="4"/>
        <w:rPr>
          <w:rFonts w:hint="eastAsia" w:ascii="黑体" w:hAnsi="黑体" w:eastAsia="黑体"/>
          <w:sz w:val="28"/>
          <w:szCs w:val="28"/>
        </w:rPr>
      </w:pPr>
      <w:r>
        <w:rPr>
          <w:rFonts w:ascii="黑体" w:hAnsi="黑体" w:eastAsia="黑体"/>
          <w:sz w:val="28"/>
          <w:szCs w:val="28"/>
        </w:rPr>
        <w:t>4. 系统设计与模拟</w:t>
      </w:r>
    </w:p>
    <w:p w14:paraId="48B13038">
      <w:pPr>
        <w:spacing w:line="300" w:lineRule="auto"/>
        <w:ind w:firstLine="480" w:firstLineChars="200"/>
        <w:rPr>
          <w:rFonts w:hint="eastAsia" w:ascii="宋体" w:hAnsi="宋体"/>
          <w:sz w:val="24"/>
        </w:rPr>
      </w:pPr>
      <w:r>
        <w:rPr>
          <w:rFonts w:ascii="宋体" w:hAnsi="宋体"/>
          <w:sz w:val="24"/>
        </w:rPr>
        <w:t>自动分拣机的模型设计与模拟：国外研究者设计并模拟了使用接近传感器的自动分拣机，该机器能够灵活地分离非铁金属物体，并将物体自动移动到由可编程逻辑控制器（PLC）定义的篮子中。</w:t>
      </w:r>
    </w:p>
    <w:p w14:paraId="512F8A80">
      <w:pPr>
        <w:pStyle w:val="3"/>
        <w:rPr>
          <w:rFonts w:hint="eastAsia" w:ascii="黑体" w:hAnsi="黑体"/>
        </w:rPr>
      </w:pPr>
      <w:r>
        <w:rPr>
          <w:rFonts w:hint="eastAsia" w:ascii="黑体" w:hAnsi="黑体"/>
        </w:rPr>
        <w:t>2.3国内外相关研究</w:t>
      </w:r>
      <w:bookmarkEnd w:id="10"/>
      <w:r>
        <w:rPr>
          <w:rFonts w:ascii="黑体" w:hAnsi="黑体"/>
        </w:rPr>
        <w:t>对比</w:t>
      </w:r>
    </w:p>
    <w:p w14:paraId="558D0792">
      <w:pPr>
        <w:spacing w:line="300" w:lineRule="auto"/>
        <w:ind w:firstLine="480" w:firstLineChars="200"/>
        <w:rPr>
          <w:rFonts w:hint="eastAsia" w:ascii="宋体" w:hAnsi="宋体"/>
          <w:sz w:val="24"/>
        </w:rPr>
      </w:pPr>
      <w:bookmarkStart w:id="11" w:name="_Toc169115251"/>
      <w:r>
        <w:rPr>
          <w:rFonts w:ascii="宋体" w:hAnsi="宋体"/>
          <w:sz w:val="24"/>
        </w:rPr>
        <w:t>技术创新：国内外在自动分拣机器人的技术创新上都有显著成就，但国外在某些特定技术如自平衡系统和面部识别软件方面可能更为先进。</w:t>
      </w:r>
    </w:p>
    <w:p w14:paraId="1E68401C">
      <w:pPr>
        <w:spacing w:line="300" w:lineRule="auto"/>
        <w:ind w:firstLine="480" w:firstLineChars="200"/>
        <w:rPr>
          <w:rFonts w:hint="eastAsia" w:ascii="宋体" w:hAnsi="宋体"/>
          <w:sz w:val="24"/>
        </w:rPr>
      </w:pPr>
      <w:r>
        <w:rPr>
          <w:rFonts w:ascii="宋体" w:hAnsi="宋体"/>
          <w:sz w:val="24"/>
        </w:rPr>
        <w:t>市场规模与增长：中国的市场增长迅速，受到网购人数及使用量上涨的直接影响，而全球市场则呈现出多样化的发展特点和趋势。</w:t>
      </w:r>
    </w:p>
    <w:p w14:paraId="2070445F">
      <w:pPr>
        <w:spacing w:line="300" w:lineRule="auto"/>
        <w:ind w:firstLine="480" w:firstLineChars="200"/>
        <w:rPr>
          <w:rFonts w:hint="eastAsia" w:ascii="宋体" w:hAnsi="宋体"/>
          <w:sz w:val="24"/>
        </w:rPr>
      </w:pPr>
      <w:r>
        <w:rPr>
          <w:rFonts w:ascii="宋体" w:hAnsi="宋体"/>
          <w:sz w:val="24"/>
        </w:rPr>
        <w:t>政策环境：中国的政策环境对自动分拣机器人行业的影响较大，而国外市场则可能更受全球宏观经济形势和国际竞争格局的影响。</w:t>
      </w:r>
    </w:p>
    <w:p w14:paraId="0DFBADF5">
      <w:pPr>
        <w:spacing w:line="300" w:lineRule="auto"/>
        <w:ind w:firstLine="480" w:firstLineChars="200"/>
        <w:rPr>
          <w:rFonts w:hint="eastAsia" w:ascii="宋体" w:hAnsi="宋体"/>
          <w:sz w:val="24"/>
        </w:rPr>
      </w:pPr>
      <w:r>
        <w:rPr>
          <w:rFonts w:ascii="宋体" w:hAnsi="宋体"/>
          <w:sz w:val="24"/>
        </w:rPr>
        <w:t>行业应用：国内外都在探索自动分拣机器人在不同领域的应用，如智能仓储系统和货物配送，但具体的应用场景和技术创新点存在差异。</w:t>
      </w:r>
    </w:p>
    <w:p w14:paraId="40DDEB33">
      <w:pPr>
        <w:pStyle w:val="2"/>
        <w:spacing w:before="240" w:after="240"/>
        <w:rPr>
          <w:rFonts w:eastAsia="黑体"/>
          <w:sz w:val="36"/>
          <w:szCs w:val="36"/>
        </w:rPr>
        <w:sectPr>
          <w:pgSz w:w="11906" w:h="16838"/>
          <w:pgMar w:top="1440" w:right="1800" w:bottom="1440" w:left="1800" w:header="851" w:footer="992" w:gutter="0"/>
          <w:cols w:space="720" w:num="1"/>
          <w:docGrid w:type="lines" w:linePitch="312" w:charSpace="0"/>
        </w:sectPr>
      </w:pPr>
    </w:p>
    <w:p w14:paraId="1D3F688E">
      <w:pPr>
        <w:pStyle w:val="2"/>
        <w:spacing w:before="240" w:after="240"/>
        <w:rPr>
          <w:rFonts w:eastAsia="黑体"/>
          <w:sz w:val="36"/>
          <w:szCs w:val="36"/>
        </w:rPr>
      </w:pPr>
      <w:r>
        <w:rPr>
          <w:rFonts w:eastAsia="黑体"/>
          <w:sz w:val="36"/>
          <w:szCs w:val="36"/>
        </w:rPr>
        <w:t>3.概要设计</w:t>
      </w:r>
      <w:bookmarkEnd w:id="11"/>
    </w:p>
    <w:p w14:paraId="249AD93E">
      <w:pPr>
        <w:pStyle w:val="3"/>
        <w:spacing w:before="160" w:after="160" w:line="360" w:lineRule="auto"/>
        <w:rPr>
          <w:rFonts w:ascii="Times New Roman" w:hAnsi="Times New Roman"/>
        </w:rPr>
      </w:pPr>
      <w:bookmarkStart w:id="12" w:name="_Toc169115252"/>
      <w:r>
        <w:rPr>
          <w:rFonts w:ascii="Times New Roman" w:hAnsi="Times New Roman"/>
        </w:rPr>
        <w:t>3.1</w:t>
      </w:r>
      <w:r>
        <w:rPr>
          <w:rFonts w:ascii="Times New Roman"/>
        </w:rPr>
        <w:t>系统框架</w:t>
      </w:r>
      <w:bookmarkEnd w:id="12"/>
    </w:p>
    <w:p w14:paraId="638CE834">
      <w:pPr>
        <w:spacing w:line="300" w:lineRule="auto"/>
        <w:ind w:firstLine="480" w:firstLineChars="200"/>
        <w:rPr>
          <w:color w:val="333399"/>
          <w:sz w:val="24"/>
        </w:rPr>
      </w:pPr>
      <w:r>
        <w:rPr>
          <w:rFonts w:hint="eastAsia"/>
          <w:sz w:val="24"/>
        </w:rPr>
        <w:t>本机器人使用物联网技术架构概述如下：从传感器数据采集、通过IP和TCP/UDP协议的传输、Arduino和STM32F407的控制、Node.js和Vite.js的前端开发，到Grafana和Prometheus的云端数据监控和可视化展示，使用ROS2作为中间件，其通信基于DDS协议。下面内容就感知层，传输层，控制层，软件开发技术，云应用，数据挖掘与可视化应用进行具体解释。</w:t>
      </w:r>
    </w:p>
    <w:p w14:paraId="2FB4F413">
      <w:pPr>
        <w:tabs>
          <w:tab w:val="left" w:pos="5580"/>
        </w:tabs>
        <w:spacing w:line="300" w:lineRule="auto"/>
        <w:ind w:firstLine="420" w:firstLineChars="200"/>
        <w:jc w:val="center"/>
      </w:pPr>
      <w:r>
        <w:drawing>
          <wp:inline distT="0" distB="0" distL="0" distR="0">
            <wp:extent cx="5274310" cy="26549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655193"/>
                    </a:xfrm>
                    <a:prstGeom prst="rect">
                      <a:avLst/>
                    </a:prstGeom>
                    <a:noFill/>
                    <a:ln>
                      <a:noFill/>
                    </a:ln>
                  </pic:spPr>
                </pic:pic>
              </a:graphicData>
            </a:graphic>
          </wp:inline>
        </w:drawing>
      </w:r>
    </w:p>
    <w:p w14:paraId="4C0446EE">
      <w:pPr>
        <w:tabs>
          <w:tab w:val="left" w:pos="5580"/>
        </w:tabs>
        <w:spacing w:line="300" w:lineRule="auto"/>
        <w:ind w:firstLine="480" w:firstLineChars="200"/>
        <w:jc w:val="center"/>
        <w:rPr>
          <w:rFonts w:hint="eastAsia" w:ascii="宋体" w:hAnsi="宋体"/>
          <w:sz w:val="24"/>
        </w:rPr>
      </w:pPr>
      <w:r>
        <w:rPr>
          <w:rFonts w:ascii="宋体" w:hAnsi="宋体"/>
          <w:sz w:val="24"/>
        </w:rPr>
        <w:t>图</w:t>
      </w:r>
      <w:r>
        <w:rPr>
          <w:rFonts w:hint="eastAsia" w:ascii="宋体" w:hAnsi="宋体"/>
          <w:sz w:val="24"/>
        </w:rPr>
        <w:t>6</w:t>
      </w:r>
      <w:r>
        <w:rPr>
          <w:rFonts w:ascii="宋体" w:hAnsi="宋体"/>
          <w:sz w:val="24"/>
        </w:rPr>
        <w:t xml:space="preserve"> 系统框架图</w:t>
      </w:r>
    </w:p>
    <w:p w14:paraId="5B2203FB">
      <w:pPr>
        <w:pStyle w:val="3"/>
        <w:spacing w:before="160" w:after="160" w:line="360" w:lineRule="auto"/>
        <w:rPr>
          <w:rFonts w:ascii="Times New Roman" w:hAnsi="Times New Roman"/>
        </w:rPr>
      </w:pPr>
      <w:bookmarkStart w:id="13" w:name="_Toc169115253"/>
      <w:r>
        <w:rPr>
          <w:rFonts w:ascii="Times New Roman" w:hAnsi="Times New Roman"/>
        </w:rPr>
        <w:t xml:space="preserve">3.2 </w:t>
      </w:r>
      <w:r>
        <w:rPr>
          <w:rFonts w:ascii="Times New Roman"/>
        </w:rPr>
        <w:t>模块划分</w:t>
      </w:r>
      <w:bookmarkEnd w:id="13"/>
    </w:p>
    <w:p w14:paraId="42FFA720">
      <w:pPr>
        <w:spacing w:line="300" w:lineRule="auto"/>
        <w:ind w:left="420" w:firstLine="480" w:firstLineChars="200"/>
        <w:rPr>
          <w:rFonts w:hint="eastAsia" w:ascii="宋体" w:hAnsi="宋体"/>
          <w:sz w:val="24"/>
        </w:rPr>
      </w:pPr>
      <w:r>
        <w:rPr>
          <w:sz w:val="24"/>
        </w:rPr>
        <w:t>本系统</w:t>
      </w:r>
      <w:r>
        <w:rPr>
          <w:rFonts w:hint="eastAsia"/>
          <w:sz w:val="24"/>
        </w:rPr>
        <w:t>总共</w:t>
      </w:r>
      <w:r>
        <w:rPr>
          <w:sz w:val="24"/>
        </w:rPr>
        <w:t>有</w:t>
      </w:r>
      <w:r>
        <w:rPr>
          <w:rFonts w:hint="eastAsia"/>
          <w:sz w:val="24"/>
        </w:rPr>
        <w:t>九</w:t>
      </w:r>
      <w:r>
        <w:rPr>
          <w:sz w:val="24"/>
        </w:rPr>
        <w:t>个模块</w:t>
      </w:r>
      <w:r>
        <w:rPr>
          <w:rFonts w:hint="eastAsia"/>
          <w:sz w:val="24"/>
        </w:rPr>
        <w:t>：第一个模块是感知层技术</w:t>
      </w:r>
      <w:r>
        <w:rPr>
          <w:rFonts w:hint="eastAsia" w:ascii="宋体" w:hAnsi="宋体"/>
          <w:sz w:val="24"/>
        </w:rPr>
        <w:t>；第二个模块是</w:t>
      </w:r>
      <w:r>
        <w:rPr>
          <w:sz w:val="24"/>
        </w:rPr>
        <w:t>传输</w:t>
      </w:r>
      <w:r>
        <w:rPr>
          <w:rFonts w:hint="eastAsia"/>
          <w:sz w:val="24"/>
        </w:rPr>
        <w:t>层技术</w:t>
      </w:r>
      <w:r>
        <w:rPr>
          <w:rFonts w:hint="eastAsia" w:ascii="宋体" w:hAnsi="宋体"/>
          <w:sz w:val="24"/>
        </w:rPr>
        <w:t>；第三个模块是</w:t>
      </w:r>
      <w:r>
        <w:rPr>
          <w:rFonts w:hint="eastAsia"/>
          <w:sz w:val="24"/>
        </w:rPr>
        <w:t>控制层技术</w:t>
      </w:r>
      <w:r>
        <w:rPr>
          <w:rFonts w:hint="eastAsia" w:ascii="宋体" w:hAnsi="宋体"/>
          <w:sz w:val="24"/>
        </w:rPr>
        <w:t>；第四个模块是</w:t>
      </w:r>
      <w:r>
        <w:rPr>
          <w:rFonts w:hint="eastAsia"/>
          <w:sz w:val="24"/>
        </w:rPr>
        <w:t>软件开发技术</w:t>
      </w:r>
      <w:r>
        <w:rPr>
          <w:rFonts w:hint="eastAsia" w:ascii="宋体" w:hAnsi="宋体"/>
          <w:sz w:val="24"/>
        </w:rPr>
        <w:t>；第五个模块是</w:t>
      </w:r>
      <w:r>
        <w:rPr>
          <w:rFonts w:hint="eastAsia"/>
          <w:sz w:val="24"/>
        </w:rPr>
        <w:t>云应用技术</w:t>
      </w:r>
      <w:r>
        <w:rPr>
          <w:rFonts w:hint="eastAsia" w:ascii="宋体" w:hAnsi="宋体"/>
          <w:sz w:val="24"/>
        </w:rPr>
        <w:t>；第六个模块是</w:t>
      </w:r>
      <w:r>
        <w:rPr>
          <w:rFonts w:hint="eastAsia"/>
          <w:sz w:val="24"/>
        </w:rPr>
        <w:t>数据挖掘技术</w:t>
      </w:r>
      <w:r>
        <w:rPr>
          <w:rFonts w:hint="eastAsia" w:ascii="宋体" w:hAnsi="宋体"/>
          <w:sz w:val="24"/>
        </w:rPr>
        <w:t>；第七个模块是</w:t>
      </w:r>
      <w:r>
        <w:rPr>
          <w:rFonts w:hint="eastAsia"/>
          <w:sz w:val="24"/>
        </w:rPr>
        <w:t>可视化应用技术，</w:t>
      </w:r>
      <w:r>
        <w:rPr>
          <w:rFonts w:hint="eastAsia" w:ascii="宋体" w:hAnsi="宋体"/>
          <w:sz w:val="24"/>
        </w:rPr>
        <w:t>第八个模块是</w:t>
      </w:r>
      <w:r>
        <w:rPr>
          <w:rFonts w:hint="eastAsia"/>
          <w:sz w:val="24"/>
        </w:rPr>
        <w:t>安全技术，</w:t>
      </w:r>
      <w:r>
        <w:rPr>
          <w:rFonts w:hint="eastAsia" w:ascii="宋体" w:hAnsi="宋体"/>
          <w:sz w:val="24"/>
        </w:rPr>
        <w:t>第九个模块是</w:t>
      </w:r>
      <w:r>
        <w:rPr>
          <w:rFonts w:hint="eastAsia"/>
          <w:sz w:val="24"/>
        </w:rPr>
        <w:t>分布式与容器化技术</w:t>
      </w:r>
      <w:r>
        <w:rPr>
          <w:rFonts w:hint="eastAsia" w:ascii="宋体" w:hAnsi="宋体"/>
          <w:sz w:val="24"/>
        </w:rPr>
        <w:t>。</w:t>
      </w:r>
    </w:p>
    <w:p w14:paraId="55DFA68F">
      <w:pPr>
        <w:pStyle w:val="2"/>
        <w:spacing w:before="240" w:after="240"/>
        <w:rPr>
          <w:rFonts w:eastAsia="黑体"/>
          <w:sz w:val="36"/>
          <w:szCs w:val="36"/>
        </w:rPr>
        <w:sectPr>
          <w:pgSz w:w="11906" w:h="16838"/>
          <w:pgMar w:top="1440" w:right="1800" w:bottom="1440" w:left="1800" w:header="851" w:footer="992" w:gutter="0"/>
          <w:cols w:space="720" w:num="1"/>
          <w:docGrid w:type="lines" w:linePitch="312" w:charSpace="0"/>
        </w:sectPr>
      </w:pPr>
    </w:p>
    <w:p w14:paraId="7EF40EF4">
      <w:pPr>
        <w:pStyle w:val="2"/>
        <w:spacing w:before="240" w:after="240"/>
        <w:rPr>
          <w:rFonts w:eastAsia="黑体"/>
          <w:sz w:val="36"/>
          <w:szCs w:val="36"/>
        </w:rPr>
      </w:pPr>
      <w:bookmarkStart w:id="14" w:name="_Toc169115254"/>
      <w:r>
        <w:rPr>
          <w:rFonts w:eastAsia="黑体"/>
          <w:sz w:val="36"/>
          <w:szCs w:val="36"/>
        </w:rPr>
        <w:t>4.数据获取</w:t>
      </w:r>
      <w:bookmarkEnd w:id="14"/>
    </w:p>
    <w:p w14:paraId="73EEA5A4">
      <w:pPr>
        <w:pStyle w:val="3"/>
        <w:spacing w:before="160" w:after="160" w:line="360" w:lineRule="auto"/>
        <w:rPr>
          <w:rFonts w:ascii="Times New Roman" w:hAnsi="Times New Roman"/>
        </w:rPr>
      </w:pPr>
      <w:bookmarkStart w:id="15" w:name="_Toc169115255"/>
      <w:r>
        <w:rPr>
          <w:rFonts w:ascii="Times New Roman" w:hAnsi="Times New Roman"/>
        </w:rPr>
        <w:t>4.1</w:t>
      </w:r>
      <w:r>
        <w:rPr>
          <w:rFonts w:ascii="Times New Roman"/>
        </w:rPr>
        <w:t>数据获取</w:t>
      </w:r>
      <w:bookmarkEnd w:id="15"/>
    </w:p>
    <w:p w14:paraId="25558049">
      <w:pPr>
        <w:spacing w:line="300" w:lineRule="auto"/>
        <w:ind w:firstLine="480" w:firstLineChars="200"/>
        <w:rPr>
          <w:rFonts w:hint="eastAsia" w:ascii="宋体" w:hAnsi="宋体"/>
          <w:sz w:val="24"/>
        </w:rPr>
      </w:pPr>
      <w:r>
        <w:rPr>
          <w:rFonts w:hint="eastAsia" w:ascii="宋体" w:hAnsi="宋体"/>
          <w:sz w:val="24"/>
        </w:rPr>
        <w:t>涉及以下关键数据结构：</w:t>
      </w:r>
    </w:p>
    <w:p w14:paraId="1D817CB7">
      <w:pPr>
        <w:spacing w:line="300" w:lineRule="auto"/>
        <w:ind w:firstLine="480" w:firstLineChars="200"/>
        <w:rPr>
          <w:rFonts w:hint="eastAsia" w:ascii="宋体" w:hAnsi="宋体"/>
          <w:sz w:val="24"/>
        </w:rPr>
      </w:pPr>
      <w:r>
        <w:rPr>
          <w:rFonts w:hint="eastAsia" w:ascii="宋体" w:hAnsi="宋体"/>
          <w:sz w:val="24"/>
        </w:rPr>
        <w:t>感知层技术</w:t>
      </w:r>
    </w:p>
    <w:p w14:paraId="0B9A3434">
      <w:pPr>
        <w:spacing w:line="300" w:lineRule="auto"/>
        <w:ind w:firstLine="480" w:firstLineChars="200"/>
        <w:rPr>
          <w:rFonts w:hint="eastAsia" w:ascii="宋体" w:hAnsi="宋体"/>
          <w:sz w:val="24"/>
        </w:rPr>
      </w:pPr>
      <w:r>
        <w:rPr>
          <w:rFonts w:hint="eastAsia" w:ascii="宋体" w:hAnsi="宋体"/>
          <w:sz w:val="24"/>
        </w:rPr>
        <w:t>传输层技术</w:t>
      </w:r>
    </w:p>
    <w:p w14:paraId="35D15973">
      <w:pPr>
        <w:spacing w:line="300" w:lineRule="auto"/>
        <w:ind w:firstLine="480" w:firstLineChars="200"/>
        <w:rPr>
          <w:rFonts w:hint="eastAsia" w:ascii="宋体" w:hAnsi="宋体"/>
          <w:sz w:val="24"/>
        </w:rPr>
      </w:pPr>
      <w:r>
        <w:rPr>
          <w:rFonts w:hint="eastAsia" w:ascii="宋体" w:hAnsi="宋体"/>
          <w:sz w:val="24"/>
        </w:rPr>
        <w:t>控制层技术</w:t>
      </w:r>
    </w:p>
    <w:p w14:paraId="3B617136">
      <w:pPr>
        <w:spacing w:line="300" w:lineRule="auto"/>
        <w:ind w:firstLine="480" w:firstLineChars="200"/>
        <w:rPr>
          <w:rFonts w:hint="eastAsia" w:ascii="宋体" w:hAnsi="宋体"/>
          <w:sz w:val="24"/>
        </w:rPr>
      </w:pPr>
      <w:r>
        <w:rPr>
          <w:rFonts w:hint="eastAsia" w:ascii="宋体" w:hAnsi="宋体"/>
          <w:sz w:val="24"/>
        </w:rPr>
        <w:t>软件开发技术</w:t>
      </w:r>
    </w:p>
    <w:p w14:paraId="2440F5B1">
      <w:pPr>
        <w:spacing w:line="300" w:lineRule="auto"/>
        <w:ind w:firstLine="480" w:firstLineChars="200"/>
        <w:rPr>
          <w:rFonts w:hint="eastAsia" w:ascii="宋体" w:hAnsi="宋体"/>
          <w:sz w:val="24"/>
        </w:rPr>
      </w:pPr>
      <w:r>
        <w:rPr>
          <w:rFonts w:hint="eastAsia" w:ascii="宋体" w:hAnsi="宋体"/>
          <w:sz w:val="24"/>
        </w:rPr>
        <w:t>云应用技术</w:t>
      </w:r>
    </w:p>
    <w:p w14:paraId="6B1E4F4E">
      <w:pPr>
        <w:spacing w:line="300" w:lineRule="auto"/>
        <w:ind w:firstLine="480" w:firstLineChars="200"/>
        <w:rPr>
          <w:rFonts w:hint="eastAsia" w:ascii="宋体" w:hAnsi="宋体"/>
          <w:sz w:val="24"/>
        </w:rPr>
      </w:pPr>
      <w:r>
        <w:rPr>
          <w:rFonts w:hint="eastAsia" w:ascii="宋体" w:hAnsi="宋体"/>
          <w:sz w:val="24"/>
        </w:rPr>
        <w:t>数据挖掘技术</w:t>
      </w:r>
    </w:p>
    <w:p w14:paraId="04D55289">
      <w:pPr>
        <w:spacing w:line="300" w:lineRule="auto"/>
        <w:ind w:firstLine="480" w:firstLineChars="200"/>
        <w:rPr>
          <w:rFonts w:hint="eastAsia" w:ascii="宋体" w:hAnsi="宋体"/>
          <w:sz w:val="24"/>
        </w:rPr>
      </w:pPr>
      <w:r>
        <w:rPr>
          <w:rFonts w:hint="eastAsia" w:ascii="宋体" w:hAnsi="宋体"/>
          <w:sz w:val="24"/>
        </w:rPr>
        <w:t>可视化应用技术</w:t>
      </w:r>
    </w:p>
    <w:p w14:paraId="06CBF42A">
      <w:pPr>
        <w:spacing w:line="300" w:lineRule="auto"/>
        <w:ind w:firstLine="480" w:firstLineChars="200"/>
        <w:rPr>
          <w:rFonts w:hint="eastAsia" w:ascii="宋体" w:hAnsi="宋体"/>
          <w:sz w:val="24"/>
        </w:rPr>
      </w:pPr>
      <w:r>
        <w:rPr>
          <w:rFonts w:hint="eastAsia" w:ascii="宋体" w:hAnsi="宋体"/>
          <w:sz w:val="24"/>
        </w:rPr>
        <w:t>安全技术</w:t>
      </w:r>
    </w:p>
    <w:p w14:paraId="3B056CD8">
      <w:pPr>
        <w:spacing w:line="300" w:lineRule="auto"/>
        <w:ind w:firstLine="480" w:firstLineChars="200"/>
        <w:rPr>
          <w:rFonts w:hint="eastAsia" w:ascii="宋体" w:hAnsi="宋体"/>
          <w:sz w:val="24"/>
        </w:rPr>
      </w:pPr>
      <w:r>
        <w:rPr>
          <w:rFonts w:hint="eastAsia" w:ascii="宋体" w:hAnsi="宋体"/>
          <w:sz w:val="24"/>
        </w:rPr>
        <w:t>分布式与容器化技术</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2000000" w:usb3="00000000" w:csb0="0000019F" w:csb1="00000000"/>
  </w:font>
  <w:font w:name="微软雅黑">
    <w:altName w:val="汉仪旗黑"/>
    <w:panose1 w:val="020B0503020204020204"/>
    <w:charset w:val="86"/>
    <w:family w:val="swiss"/>
    <w:pitch w:val="default"/>
    <w:sig w:usb0="00000000" w:usb1="00000000" w:usb2="00000016" w:usb3="00000000" w:csb0="0004001F" w:csb1="00000000"/>
  </w:font>
  <w:font w:name="华文行楷">
    <w:altName w:val="宋体-简"/>
    <w:panose1 w:val="02010800040101010101"/>
    <w:charset w:val="86"/>
    <w:family w:val="auto"/>
    <w:pitch w:val="default"/>
    <w:sig w:usb0="00000000" w:usb1="00000000" w:usb2="00000010" w:usb3="00000000" w:csb0="0004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D56DE7"/>
    <w:multiLevelType w:val="multilevel"/>
    <w:tmpl w:val="2ED56DE7"/>
    <w:lvl w:ilvl="0" w:tentative="0">
      <w:start w:val="1"/>
      <w:numFmt w:val="decimal"/>
      <w:lvlText w:val="（%1）"/>
      <w:lvlJc w:val="left"/>
      <w:pPr>
        <w:tabs>
          <w:tab w:val="left" w:pos="1080"/>
        </w:tabs>
        <w:ind w:left="1080" w:hanging="840"/>
      </w:pPr>
      <w:rPr>
        <w:rFonts w:hint="default"/>
      </w:rPr>
    </w:lvl>
    <w:lvl w:ilvl="1" w:tentative="0">
      <w:start w:val="1"/>
      <w:numFmt w:val="lowerLetter"/>
      <w:lvlText w:val="%2)"/>
      <w:lvlJc w:val="left"/>
      <w:pPr>
        <w:tabs>
          <w:tab w:val="left" w:pos="1080"/>
        </w:tabs>
        <w:ind w:left="1080" w:hanging="420"/>
      </w:pPr>
    </w:lvl>
    <w:lvl w:ilvl="2" w:tentative="0">
      <w:start w:val="1"/>
      <w:numFmt w:val="lowerRoman"/>
      <w:lvlText w:val="%3."/>
      <w:lvlJc w:val="right"/>
      <w:pPr>
        <w:tabs>
          <w:tab w:val="left" w:pos="1500"/>
        </w:tabs>
        <w:ind w:left="1500" w:hanging="420"/>
      </w:pPr>
    </w:lvl>
    <w:lvl w:ilvl="3" w:tentative="0">
      <w:start w:val="1"/>
      <w:numFmt w:val="decimal"/>
      <w:lvlText w:val="%4."/>
      <w:lvlJc w:val="left"/>
      <w:pPr>
        <w:tabs>
          <w:tab w:val="left" w:pos="1920"/>
        </w:tabs>
        <w:ind w:left="1920" w:hanging="420"/>
      </w:pPr>
    </w:lvl>
    <w:lvl w:ilvl="4" w:tentative="0">
      <w:start w:val="1"/>
      <w:numFmt w:val="lowerLetter"/>
      <w:lvlText w:val="%5)"/>
      <w:lvlJc w:val="left"/>
      <w:pPr>
        <w:tabs>
          <w:tab w:val="left" w:pos="2340"/>
        </w:tabs>
        <w:ind w:left="2340" w:hanging="420"/>
      </w:pPr>
    </w:lvl>
    <w:lvl w:ilvl="5" w:tentative="0">
      <w:start w:val="1"/>
      <w:numFmt w:val="lowerRoman"/>
      <w:lvlText w:val="%6."/>
      <w:lvlJc w:val="right"/>
      <w:pPr>
        <w:tabs>
          <w:tab w:val="left" w:pos="2760"/>
        </w:tabs>
        <w:ind w:left="2760" w:hanging="420"/>
      </w:pPr>
    </w:lvl>
    <w:lvl w:ilvl="6" w:tentative="0">
      <w:start w:val="1"/>
      <w:numFmt w:val="decimal"/>
      <w:lvlText w:val="%7."/>
      <w:lvlJc w:val="left"/>
      <w:pPr>
        <w:tabs>
          <w:tab w:val="left" w:pos="3180"/>
        </w:tabs>
        <w:ind w:left="3180" w:hanging="420"/>
      </w:pPr>
    </w:lvl>
    <w:lvl w:ilvl="7" w:tentative="0">
      <w:start w:val="1"/>
      <w:numFmt w:val="lowerLetter"/>
      <w:lvlText w:val="%8)"/>
      <w:lvlJc w:val="left"/>
      <w:pPr>
        <w:tabs>
          <w:tab w:val="left" w:pos="3600"/>
        </w:tabs>
        <w:ind w:left="3600" w:hanging="420"/>
      </w:pPr>
    </w:lvl>
    <w:lvl w:ilvl="8" w:tentative="0">
      <w:start w:val="1"/>
      <w:numFmt w:val="lowerRoman"/>
      <w:lvlText w:val="%9."/>
      <w:lvlJc w:val="right"/>
      <w:pPr>
        <w:tabs>
          <w:tab w:val="left" w:pos="4020"/>
        </w:tabs>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2F"/>
    <w:rsid w:val="000739F9"/>
    <w:rsid w:val="000F4D9D"/>
    <w:rsid w:val="000F7A21"/>
    <w:rsid w:val="00254BBA"/>
    <w:rsid w:val="002B4B84"/>
    <w:rsid w:val="002C1B2F"/>
    <w:rsid w:val="00344CBC"/>
    <w:rsid w:val="00480324"/>
    <w:rsid w:val="004B3C61"/>
    <w:rsid w:val="004D67C9"/>
    <w:rsid w:val="00565618"/>
    <w:rsid w:val="0060022F"/>
    <w:rsid w:val="00643992"/>
    <w:rsid w:val="006729D8"/>
    <w:rsid w:val="007B5F99"/>
    <w:rsid w:val="00843BA6"/>
    <w:rsid w:val="008704DC"/>
    <w:rsid w:val="00930348"/>
    <w:rsid w:val="009A5DF7"/>
    <w:rsid w:val="00A02E86"/>
    <w:rsid w:val="00A85AE2"/>
    <w:rsid w:val="00AB4543"/>
    <w:rsid w:val="00C6466C"/>
    <w:rsid w:val="00CB41E9"/>
    <w:rsid w:val="00CF5A42"/>
    <w:rsid w:val="00D55F4E"/>
    <w:rsid w:val="00DD767E"/>
    <w:rsid w:val="00E05F56"/>
    <w:rsid w:val="00E92568"/>
    <w:rsid w:val="00EA2498"/>
    <w:rsid w:val="00EF0869"/>
    <w:rsid w:val="00F75B2B"/>
    <w:rsid w:val="62FE3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imes New Roman" w:hAnsi="Times New Roman" w:eastAsia="宋体" w:cs="Times New Roman"/>
      <w:kern w:val="2"/>
      <w:sz w:val="21"/>
      <w:szCs w:val="24"/>
      <w:lang w:val="en-US" w:eastAsia="zh-CN" w:bidi="ar-SA"/>
      <w14:ligatures w14:val="none"/>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3"/>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0"/>
    <w:unhideWhenUsed/>
    <w:uiPriority w:val="99"/>
    <w:pPr>
      <w:tabs>
        <w:tab w:val="center" w:pos="4153"/>
        <w:tab w:val="right" w:pos="8306"/>
      </w:tabs>
      <w:snapToGrid w:val="0"/>
    </w:pPr>
    <w:rPr>
      <w:sz w:val="18"/>
      <w:szCs w:val="18"/>
    </w:rPr>
  </w:style>
  <w:style w:type="paragraph" w:styleId="6">
    <w:name w:val="header"/>
    <w:basedOn w:val="1"/>
    <w:link w:val="9"/>
    <w:unhideWhenUsed/>
    <w:uiPriority w:val="99"/>
    <w:pPr>
      <w:tabs>
        <w:tab w:val="center" w:pos="4153"/>
        <w:tab w:val="right" w:pos="8306"/>
      </w:tabs>
      <w:snapToGrid w:val="0"/>
      <w:jc w:val="center"/>
    </w:pPr>
    <w:rPr>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character" w:customStyle="1" w:styleId="11">
    <w:name w:val="标题 1 字符"/>
    <w:basedOn w:val="8"/>
    <w:link w:val="2"/>
    <w:uiPriority w:val="0"/>
    <w:rPr>
      <w:rFonts w:ascii="Times New Roman" w:hAnsi="Times New Roman" w:eastAsia="宋体" w:cs="Times New Roman"/>
      <w:b/>
      <w:bCs/>
      <w:kern w:val="44"/>
      <w:sz w:val="44"/>
      <w:szCs w:val="44"/>
      <w14:ligatures w14:val="none"/>
    </w:rPr>
  </w:style>
  <w:style w:type="character" w:customStyle="1" w:styleId="12">
    <w:name w:val="标题 2 字符"/>
    <w:basedOn w:val="8"/>
    <w:link w:val="3"/>
    <w:uiPriority w:val="0"/>
    <w:rPr>
      <w:rFonts w:ascii="Arial" w:hAnsi="Arial" w:eastAsia="黑体" w:cs="Times New Roman"/>
      <w:b/>
      <w:bCs/>
      <w:sz w:val="32"/>
      <w:szCs w:val="32"/>
      <w14:ligatures w14:val="none"/>
    </w:rPr>
  </w:style>
  <w:style w:type="character" w:customStyle="1" w:styleId="13">
    <w:name w:val="标题 3 字符"/>
    <w:basedOn w:val="8"/>
    <w:link w:val="4"/>
    <w:uiPriority w:val="9"/>
    <w:rPr>
      <w:rFonts w:ascii="Times New Roman" w:hAnsi="Times New Roman" w:eastAsia="宋体" w:cs="Times New Roman"/>
      <w:b/>
      <w:bCs/>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1051</Words>
  <Characters>5993</Characters>
  <Lines>49</Lines>
  <Paragraphs>14</Paragraphs>
  <TotalTime>41</TotalTime>
  <ScaleCrop>false</ScaleCrop>
  <LinksUpToDate>false</LinksUpToDate>
  <CharactersWithSpaces>7030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2024-11-02T19:01:00Z</dcterms:created>
  <dc:creator>a a</dc:creator>
  <cp:lastModifiedBy>刘逸杰</cp:lastModifiedBy>
  <dcterms:modified xsi:type="dcterms:W3CDTF">2024-11-19T18:40:34Z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1852C43D2799783A226B3C674D450623_42</vt:lpwstr>
  </property>
</Properties>
</file>