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Plan de Uso de Métodos Criptográficos con su Clasificación</w:t>
      </w:r>
    </w:p>
    <w:p>
      <w:pPr>
        <w:spacing w:after="200"/>
        <w:jc w:val="center"/>
      </w:pPr>
      <w:r>
        <w:rPr>
          <w:rFonts w:ascii="Arial" w:cs="Arial" w:eastAsia="Arial" w:hAnsi="Arial"/>
          <w:i/>
          <w:iCs/>
          <w:color w:val="2E75B6"/>
          <w:sz w:val="28"/>
          <w:szCs w:val="28"/>
        </w:rPr>
        <w:t xml:space="preserve">Caso de Estudio: Plataforma de Banca en Línea para PYME</w:t>
      </w:r>
    </w:p>
    <w:p>
      <w:pPr>
        <w:spacing w:after="200"/>
        <w:jc w:val="center"/>
      </w:pPr>
      <w:r>
        <w:rPr>
          <w:rFonts w:ascii="Arial" w:cs="Arial" w:eastAsia="Arial" w:hAnsi="Arial"/>
          <w:i/>
          <w:iCs/>
          <w:color w:val="555555"/>
          <w:sz w:val="24"/>
          <w:szCs w:val="24"/>
        </w:rPr>
        <w:t xml:space="preserve">Ciberseguridad — Fundamentos de Criptografía</w:t>
      </w:r>
    </w:p>
    <w:p>
      <w:pPr>
        <w:spacing w:after="1200"/>
        <w:jc w:val="center"/>
      </w:pPr>
      <w:r>
        <w:rPr>
          <w:rFonts w:ascii="Arial" w:cs="Arial" w:eastAsia="Arial" w:hAnsi="Arial"/>
          <w:color w:val="555555"/>
          <w:sz w:val="24"/>
          <w:szCs w:val="24"/>
        </w:rPr>
        <w:t xml:space="preserve">Mayo 2026</w:t>
      </w:r>
    </w:p>
    <w:p>
      <w:pPr>
        <w:pStyle w:val="Heading1"/>
      </w:pPr>
      <w:r>
        <w:rPr>
          <w:rFonts w:ascii="Arial" w:cs="Arial" w:eastAsia="Arial" w:hAnsi="Arial"/>
          <w:b/>
          <w:bCs/>
          <w:sz w:val="32"/>
          <w:szCs w:val="32"/>
        </w:rPr>
        <w:t xml:space="preserve">1. Introducción y Descripción del Caso de Estudio</w:t>
      </w:r>
    </w:p>
    <w:p>
      <w:pPr>
        <w:spacing w:after="160"/>
        <w:jc w:val="both"/>
      </w:pPr>
      <w:r>
        <w:rPr>
          <w:rFonts w:ascii="Arial" w:cs="Arial" w:eastAsia="Arial" w:hAnsi="Arial"/>
          <w:sz w:val="24"/>
          <w:szCs w:val="24"/>
        </w:rPr>
        <w:t xml:space="preserve">El presente plan criptográfico se desarrolla sobre un caso de estudio concreto: una plataforma de banca en línea para pequeñas y medianas empresas (PYME). Este tipo de sistema maneja información de alta sensibilidad — datos financieros, personales e identidades corporativas — y opera en un entorno de amenazas significativo que incluye ataques dirigidos, fraude financiero y robo de identidad.</w:t>
      </w:r>
    </w:p>
    <w:p>
      <w:pPr>
        <w:spacing w:after="160"/>
        <w:jc w:val="both"/>
      </w:pPr>
      <w:r>
        <w:rPr>
          <w:rFonts w:ascii="Arial" w:cs="Arial" w:eastAsia="Arial" w:hAnsi="Arial"/>
          <w:sz w:val="24"/>
          <w:szCs w:val="24"/>
        </w:rPr>
        <w:t xml:space="preserve">El plan identifica las principales áreas de seguridad del sistema, clasifica el nivel de riesgo de cada una, selecciona los métodos criptográficos más adecuados para cada contexto, y desarrolla un análisis de riesgos con planes de mitigación específicos. El objetivo es que la arquitectura criptográfica resultante cumpla con los estándares PCI DSS v4.0, ISO/IEC 27001:2022 y las recomendaciones del NIST SP 800-131A.</w:t>
      </w:r>
    </w:p>
    <w:p>
      <w:r>
        <w:t xml:space="preserve"/>
      </w:r>
    </w:p>
    <w:p>
      <w:pPr>
        <w:pStyle w:val="Heading1"/>
      </w:pPr>
      <w:r>
        <w:rPr>
          <w:rFonts w:ascii="Arial" w:cs="Arial" w:eastAsia="Arial" w:hAnsi="Arial"/>
          <w:b/>
          <w:bCs/>
          <w:sz w:val="32"/>
          <w:szCs w:val="32"/>
        </w:rPr>
        <w:t xml:space="preserve">2. Identificación de Necesidades de Seguridad</w:t>
      </w:r>
    </w:p>
    <w:p>
      <w:pPr>
        <w:spacing w:after="160"/>
        <w:jc w:val="both"/>
      </w:pPr>
      <w:r>
        <w:rPr>
          <w:rFonts w:ascii="Arial" w:cs="Arial" w:eastAsia="Arial" w:hAnsi="Arial"/>
          <w:sz w:val="24"/>
          <w:szCs w:val="24"/>
        </w:rPr>
        <w:t xml:space="preserve">El análisis de la plataforma identifica cinco áreas críticas de seguridad de la información, cada una con necesidades específicas que deben ser cubiertas mediante mecanismos criptográficos:</w:t>
      </w:r>
    </w:p>
    <w:p>
      <w:pPr>
        <w:pStyle w:val="ListParagraph"/>
        <w:numPr>
          <w:ilvl w:val="0"/>
          <w:numId w:val="2"/>
        </w:numPr>
      </w:pPr>
      <w:r>
        <w:rPr>
          <w:rFonts w:ascii="Arial" w:cs="Arial" w:eastAsia="Arial" w:hAnsi="Arial"/>
          <w:sz w:val="24"/>
          <w:szCs w:val="24"/>
        </w:rPr>
        <w:t xml:space="preserve">Autenticación de usuarios: Verificación de identidades para el acceso al sistema.</w:t>
      </w:r>
    </w:p>
    <w:p>
      <w:pPr>
        <w:pStyle w:val="ListParagraph"/>
        <w:numPr>
          <w:ilvl w:val="0"/>
          <w:numId w:val="2"/>
        </w:numPr>
      </w:pPr>
      <w:r>
        <w:rPr>
          <w:rFonts w:ascii="Arial" w:cs="Arial" w:eastAsia="Arial" w:hAnsi="Arial"/>
          <w:sz w:val="24"/>
          <w:szCs w:val="24"/>
        </w:rPr>
        <w:t xml:space="preserve">Cifrado de transacciones financieras: Protección de la confidencialidad e integridad de las operaciones.</w:t>
      </w:r>
    </w:p>
    <w:p>
      <w:pPr>
        <w:pStyle w:val="ListParagraph"/>
        <w:numPr>
          <w:ilvl w:val="0"/>
          <w:numId w:val="2"/>
        </w:numPr>
      </w:pPr>
      <w:r>
        <w:rPr>
          <w:rFonts w:ascii="Arial" w:cs="Arial" w:eastAsia="Arial" w:hAnsi="Arial"/>
          <w:sz w:val="24"/>
          <w:szCs w:val="24"/>
        </w:rPr>
        <w:t xml:space="preserve">Firma digital de órdenes de pago: Garantía de no repudio para operaciones autorizadas.</w:t>
      </w:r>
    </w:p>
    <w:p>
      <w:pPr>
        <w:pStyle w:val="ListParagraph"/>
        <w:numPr>
          <w:ilvl w:val="0"/>
          <w:numId w:val="2"/>
        </w:numPr>
      </w:pPr>
      <w:r>
        <w:rPr>
          <w:rFonts w:ascii="Arial" w:cs="Arial" w:eastAsia="Arial" w:hAnsi="Arial"/>
          <w:sz w:val="24"/>
          <w:szCs w:val="24"/>
        </w:rPr>
        <w:t xml:space="preserve">Almacenamiento de datos sensibles: Protección de datos PII y financieros en reposo.</w:t>
      </w:r>
    </w:p>
    <w:p>
      <w:pPr>
        <w:pStyle w:val="ListParagraph"/>
        <w:numPr>
          <w:ilvl w:val="0"/>
          <w:numId w:val="2"/>
        </w:numPr>
      </w:pPr>
      <w:r>
        <w:rPr>
          <w:rFonts w:ascii="Arial" w:cs="Arial" w:eastAsia="Arial" w:hAnsi="Arial"/>
          <w:sz w:val="24"/>
          <w:szCs w:val="24"/>
        </w:rPr>
        <w:t xml:space="preserve">Comunicación interna entre microservicios: Seguridad de la arquitectura de backend.</w:t>
      </w:r>
    </w:p>
    <w:p>
      <w:r>
        <w:t xml:space="preserve"/>
      </w:r>
    </w:p>
    <w:p>
      <w:pPr>
        <w:pStyle w:val="Heading1"/>
      </w:pPr>
      <w:r>
        <w:rPr>
          <w:rFonts w:ascii="Arial" w:cs="Arial" w:eastAsia="Arial" w:hAnsi="Arial"/>
          <w:b/>
          <w:bCs/>
          <w:sz w:val="32"/>
          <w:szCs w:val="32"/>
        </w:rPr>
        <w:t xml:space="preserve">3. Clasificación del Nivel de Seguridad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160"/>
        <w:gridCol w:w="42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Autenticación de Usuarios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CRÍTICO</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Primer vector de ataque; compromiso permite acceso total al sistema. Regulaciones exigen MFA.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Cifrado de Transacciones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CRÍTICO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financieros en tránsito son objetivo prioritario de atacantes. Obligatorio PCI DSS.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Firma Digital de Pagos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5000"/>
                <w:sz w:val="20"/>
                <w:szCs w:val="20"/>
              </w:rPr>
              <w:t xml:space="preserve">ALTO</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Necesario para no repudio legal; crítico en disputas contractuales.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BD Datos Sensibles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5000"/>
                <w:sz w:val="20"/>
                <w:szCs w:val="20"/>
              </w:rPr>
              <w:t xml:space="preserve">ALTO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compromiso de la base de datos sin cifrado resulta en violación masiva de datos PII.</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Internas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666600"/>
                <w:sz w:val="20"/>
                <w:szCs w:val="20"/>
              </w:rPr>
              <w:t xml:space="preserve">MEDIO-ALTO</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Riesgo de movimiento lateral; impacto significativo pero no expone directamente datos de cliente.</w:t>
            </w:r>
          </w:p>
        </w:tc>
      </w:tr>
    </w:tbl>
    <w:p>
      <w:r>
        <w:t xml:space="preserve"/>
      </w:r>
    </w:p>
    <w:p>
      <w:pPr>
        <w:pStyle w:val="Heading1"/>
      </w:pPr>
      <w:r>
        <w:rPr>
          <w:rFonts w:ascii="Arial" w:cs="Arial" w:eastAsia="Arial" w:hAnsi="Arial"/>
          <w:b/>
          <w:bCs/>
          <w:sz w:val="32"/>
          <w:szCs w:val="32"/>
        </w:rPr>
        <w:t xml:space="preserve">4. Plan de Métodos Criptográficos por Área</w:t>
      </w:r>
    </w:p>
    <w:p>
      <w:pPr>
        <w:pStyle w:val="Heading2"/>
      </w:pPr>
      <w:r>
        <w:rPr>
          <w:rFonts w:ascii="Arial" w:cs="Arial" w:eastAsia="Arial" w:hAnsi="Arial"/>
          <w:b/>
          <w:bCs/>
          <w:sz w:val="28"/>
          <w:szCs w:val="28"/>
        </w:rPr>
        <w:t xml:space="preserve">A1. Autenticación de Usuarios — Nivel: CRÍTICO</w:t>
      </w:r>
    </w:p>
    <w:p>
      <w:pPr>
        <w:spacing w:after="160"/>
        <w:jc w:val="both"/>
      </w:pPr>
      <w:r>
        <w:rPr>
          <w:rFonts w:ascii="Arial" w:cs="Arial" w:eastAsia="Arial" w:hAnsi="Arial"/>
          <w:b/>
          <w:bCs/>
          <w:sz w:val="24"/>
          <w:szCs w:val="24"/>
        </w:rPr>
        <w:t xml:space="preserve">Necesidades de seguridad identificadas:</w:t>
      </w:r>
    </w:p>
    <w:p>
      <w:pPr>
        <w:spacing w:after="160"/>
        <w:jc w:val="both"/>
      </w:pPr>
      <w:r>
        <w:rPr>
          <w:rFonts w:ascii="Arial" w:cs="Arial" w:eastAsia="Arial" w:hAnsi="Arial"/>
          <w:sz w:val="24"/>
          <w:szCs w:val="24"/>
        </w:rPr>
        <w:t xml:space="preserve">Verificar la identidad de usuarios antes de acceder a cuentas bancarias. Evitar accesos no autorizados y suplantación de identidad.</w:t>
      </w:r>
    </w:p>
    <w:p>
      <w:pPr>
        <w:spacing w:after="160"/>
        <w:jc w:val="both"/>
      </w:pPr>
      <w:r>
        <w:rPr>
          <w:rFonts w:ascii="Arial" w:cs="Arial" w:eastAsia="Arial" w:hAnsi="Arial"/>
          <w:b/>
          <w:bCs/>
          <w:sz w:val="24"/>
          <w:szCs w:val="24"/>
        </w:rPr>
        <w:t xml:space="preserve">Método criptográfico seleccionado:</w:t>
      </w:r>
    </w:p>
    <w:p>
      <w:pPr>
        <w:spacing w:after="160"/>
        <w:jc w:val="both"/>
      </w:pPr>
      <w:r>
        <w:rPr>
          <w:rFonts w:ascii="Arial" w:cs="Arial" w:eastAsia="Arial" w:hAnsi="Arial"/>
          <w:sz w:val="24"/>
          <w:szCs w:val="24"/>
        </w:rPr>
        <w:t xml:space="preserve">PBKDF2 / bcrypt (contraseñas) + TOTP con HMAC-SHA1 (2FA) + TLS 1.3 con certificados X.509</w:t>
      </w:r>
    </w:p>
    <w:p>
      <w:pPr>
        <w:spacing w:after="160"/>
        <w:jc w:val="both"/>
      </w:pPr>
      <w:r>
        <w:rPr>
          <w:rFonts w:ascii="Arial" w:cs="Arial" w:eastAsia="Arial" w:hAnsi="Arial"/>
          <w:b/>
          <w:bCs/>
          <w:sz w:val="24"/>
          <w:szCs w:val="24"/>
        </w:rPr>
        <w:t xml:space="preserve">Justificación de la selección:</w:t>
      </w:r>
    </w:p>
    <w:p>
      <w:pPr>
        <w:spacing w:after="160"/>
        <w:jc w:val="both"/>
      </w:pPr>
      <w:r>
        <w:rPr>
          <w:rFonts w:ascii="Arial" w:cs="Arial" w:eastAsia="Arial" w:hAnsi="Arial"/>
          <w:sz w:val="24"/>
          <w:szCs w:val="24"/>
        </w:rPr>
        <w:t xml:space="preserve">La autenticación requiere protección contra ataques de diccionario (bcrypt/PBKDF2), verificación de posesión de dispositivo (TOTP) y cifrado del canal (TLS 1.3). La combinación de factores reduce drásticamente el riesgo de compromiso.</w:t>
      </w:r>
    </w:p>
    <w:p>
      <w:pPr>
        <w:spacing w:after="160"/>
        <w:jc w:val="both"/>
      </w:pPr>
      <w:r>
        <w:rPr>
          <w:rFonts w:ascii="Arial" w:cs="Arial" w:eastAsia="Arial" w:hAnsi="Arial"/>
          <w:b/>
          <w:bCs/>
          <w:sz w:val="24"/>
          <w:szCs w:val="24"/>
        </w:rPr>
        <w:t xml:space="preserve">Riesgos identificados:</w:t>
      </w:r>
    </w:p>
    <w:p>
      <w:pPr>
        <w:spacing w:after="160"/>
        <w:jc w:val="both"/>
      </w:pPr>
      <w:r>
        <w:rPr>
          <w:rFonts w:ascii="Arial" w:cs="Arial" w:eastAsia="Arial" w:hAnsi="Arial"/>
          <w:sz w:val="24"/>
          <w:szCs w:val="24"/>
        </w:rPr>
        <w:t xml:space="preserve">Compromiso de contraseñas por fuerza bruta, robo de sesión, phishing, ataques de replay.</w:t>
      </w:r>
    </w:p>
    <w:p>
      <w:pPr>
        <w:spacing w:after="160"/>
        <w:jc w:val="both"/>
      </w:pPr>
      <w:r>
        <w:rPr>
          <w:rFonts w:ascii="Arial" w:cs="Arial" w:eastAsia="Arial" w:hAnsi="Arial"/>
          <w:b/>
          <w:bCs/>
          <w:sz w:val="24"/>
          <w:szCs w:val="24"/>
        </w:rPr>
        <w:t xml:space="preserve">Plan de mitigación:</w:t>
      </w:r>
    </w:p>
    <w:p>
      <w:pPr>
        <w:spacing w:after="160"/>
        <w:jc w:val="both"/>
      </w:pPr>
      <w:r>
        <w:rPr>
          <w:rFonts w:ascii="Arial" w:cs="Arial" w:eastAsia="Arial" w:hAnsi="Arial"/>
          <w:sz w:val="24"/>
          <w:szCs w:val="24"/>
        </w:rPr>
        <w:t xml:space="preserve">Implementar bloqueo de cuenta tras N intentos fallidos, rotación de tokens JWT con expiración corta (15 min), HSTS para prevenir downgrade, y monitoreo de accesos anómalos con alertas en tiempo real.</w:t>
      </w:r>
    </w:p>
    <w:p>
      <w:r>
        <w:t xml:space="preserve"/>
      </w:r>
    </w:p>
    <w:p>
      <w:pPr>
        <w:pStyle w:val="Heading2"/>
      </w:pPr>
      <w:r>
        <w:rPr>
          <w:rFonts w:ascii="Arial" w:cs="Arial" w:eastAsia="Arial" w:hAnsi="Arial"/>
          <w:b/>
          <w:bCs/>
          <w:sz w:val="28"/>
          <w:szCs w:val="28"/>
        </w:rPr>
        <w:t xml:space="preserve">A2. Cifrado de Transacciones Financieras — Nivel: CRÍTICO</w:t>
      </w:r>
    </w:p>
    <w:p>
      <w:pPr>
        <w:spacing w:after="160"/>
        <w:jc w:val="both"/>
      </w:pPr>
      <w:r>
        <w:rPr>
          <w:rFonts w:ascii="Arial" w:cs="Arial" w:eastAsia="Arial" w:hAnsi="Arial"/>
          <w:b/>
          <w:bCs/>
          <w:sz w:val="24"/>
          <w:szCs w:val="24"/>
        </w:rPr>
        <w:t xml:space="preserve">Necesidades de seguridad identificadas:</w:t>
      </w:r>
    </w:p>
    <w:p>
      <w:pPr>
        <w:spacing w:after="160"/>
        <w:jc w:val="both"/>
      </w:pPr>
      <w:r>
        <w:rPr>
          <w:rFonts w:ascii="Arial" w:cs="Arial" w:eastAsia="Arial" w:hAnsi="Arial"/>
          <w:sz w:val="24"/>
          <w:szCs w:val="24"/>
        </w:rPr>
        <w:t xml:space="preserve">Garantizar confidencialidad e integridad de datos de transacciones (montos, cuentas destino, fechas) en tránsito y en reposo.</w:t>
      </w:r>
    </w:p>
    <w:p>
      <w:pPr>
        <w:spacing w:after="160"/>
        <w:jc w:val="both"/>
      </w:pPr>
      <w:r>
        <w:rPr>
          <w:rFonts w:ascii="Arial" w:cs="Arial" w:eastAsia="Arial" w:hAnsi="Arial"/>
          <w:b/>
          <w:bCs/>
          <w:sz w:val="24"/>
          <w:szCs w:val="24"/>
        </w:rPr>
        <w:t xml:space="preserve">Método criptográfico seleccionado:</w:t>
      </w:r>
    </w:p>
    <w:p>
      <w:pPr>
        <w:spacing w:after="160"/>
        <w:jc w:val="both"/>
      </w:pPr>
      <w:r>
        <w:rPr>
          <w:rFonts w:ascii="Arial" w:cs="Arial" w:eastAsia="Arial" w:hAnsi="Arial"/>
          <w:sz w:val="24"/>
          <w:szCs w:val="24"/>
        </w:rPr>
        <w:t xml:space="preserve">TLS 1.3 con ECDHE + AES-256-GCM (tránsito) / AES-256-CBC con HMAC-SHA256 (reposo)</w:t>
      </w:r>
    </w:p>
    <w:p>
      <w:pPr>
        <w:spacing w:after="160"/>
        <w:jc w:val="both"/>
      </w:pPr>
      <w:r>
        <w:rPr>
          <w:rFonts w:ascii="Arial" w:cs="Arial" w:eastAsia="Arial" w:hAnsi="Arial"/>
          <w:b/>
          <w:bCs/>
          <w:sz w:val="24"/>
          <w:szCs w:val="24"/>
        </w:rPr>
        <w:t xml:space="preserve">Justificación de la selección:</w:t>
      </w:r>
    </w:p>
    <w:p>
      <w:pPr>
        <w:spacing w:after="160"/>
        <w:jc w:val="both"/>
      </w:pPr>
      <w:r>
        <w:rPr>
          <w:rFonts w:ascii="Arial" w:cs="Arial" w:eastAsia="Arial" w:hAnsi="Arial"/>
          <w:sz w:val="24"/>
          <w:szCs w:val="24"/>
        </w:rPr>
        <w:t xml:space="preserve">TLS 1.3 con ECDHE proporciona forward secrecy y elimina algoritmos débiles del handshake. AES-256-GCM en modo AEAD garantiza simultáneamente confidencialidad e integridad con un único algoritmo, reduciendo complejidad.</w:t>
      </w:r>
    </w:p>
    <w:p>
      <w:pPr>
        <w:spacing w:after="160"/>
        <w:jc w:val="both"/>
      </w:pPr>
      <w:r>
        <w:rPr>
          <w:rFonts w:ascii="Arial" w:cs="Arial" w:eastAsia="Arial" w:hAnsi="Arial"/>
          <w:b/>
          <w:bCs/>
          <w:sz w:val="24"/>
          <w:szCs w:val="24"/>
        </w:rPr>
        <w:t xml:space="preserve">Riesgos identificados:</w:t>
      </w:r>
    </w:p>
    <w:p>
      <w:pPr>
        <w:spacing w:after="160"/>
        <w:jc w:val="both"/>
      </w:pPr>
      <w:r>
        <w:rPr>
          <w:rFonts w:ascii="Arial" w:cs="Arial" w:eastAsia="Arial" w:hAnsi="Arial"/>
          <w:sz w:val="24"/>
          <w:szCs w:val="24"/>
        </w:rPr>
        <w:t xml:space="preserve">Interceptación de transacciones (MITM), alteración de montos o cuentas destino, replay de transacciones.</w:t>
      </w:r>
    </w:p>
    <w:p>
      <w:pPr>
        <w:spacing w:after="160"/>
        <w:jc w:val="both"/>
      </w:pPr>
      <w:r>
        <w:rPr>
          <w:rFonts w:ascii="Arial" w:cs="Arial" w:eastAsia="Arial" w:hAnsi="Arial"/>
          <w:b/>
          <w:bCs/>
          <w:sz w:val="24"/>
          <w:szCs w:val="24"/>
        </w:rPr>
        <w:t xml:space="preserve">Plan de mitigación:</w:t>
      </w:r>
    </w:p>
    <w:p>
      <w:pPr>
        <w:spacing w:after="160"/>
        <w:jc w:val="both"/>
      </w:pPr>
      <w:r>
        <w:rPr>
          <w:rFonts w:ascii="Arial" w:cs="Arial" w:eastAsia="Arial" w:hAnsi="Arial"/>
          <w:sz w:val="24"/>
          <w:szCs w:val="24"/>
        </w:rPr>
        <w:t xml:space="preserve">Uso obligatorio de TLS 1.3 (rechazar versiones anteriores), implementación de Certificate Transparency, inclusión de transaction IDs únicos con timestamp para prevenir replay, y auditoría de logs de transacciones cifrados con firma HMAC.</w:t>
      </w:r>
    </w:p>
    <w:p>
      <w:r>
        <w:t xml:space="preserve"/>
      </w:r>
    </w:p>
    <w:p>
      <w:pPr>
        <w:pStyle w:val="Heading2"/>
      </w:pPr>
      <w:r>
        <w:rPr>
          <w:rFonts w:ascii="Arial" w:cs="Arial" w:eastAsia="Arial" w:hAnsi="Arial"/>
          <w:b/>
          <w:bCs/>
          <w:sz w:val="28"/>
          <w:szCs w:val="28"/>
        </w:rPr>
        <w:t xml:space="preserve">A3. Firma Digital de Órdenes de Pago — Nivel: ALTO</w:t>
      </w:r>
    </w:p>
    <w:p>
      <w:pPr>
        <w:spacing w:after="160"/>
        <w:jc w:val="both"/>
      </w:pPr>
      <w:r>
        <w:rPr>
          <w:rFonts w:ascii="Arial" w:cs="Arial" w:eastAsia="Arial" w:hAnsi="Arial"/>
          <w:b/>
          <w:bCs/>
          <w:sz w:val="24"/>
          <w:szCs w:val="24"/>
        </w:rPr>
        <w:t xml:space="preserve">Necesidades de seguridad identificadas:</w:t>
      </w:r>
    </w:p>
    <w:p>
      <w:pPr>
        <w:spacing w:after="160"/>
        <w:jc w:val="both"/>
      </w:pPr>
      <w:r>
        <w:rPr>
          <w:rFonts w:ascii="Arial" w:cs="Arial" w:eastAsia="Arial" w:hAnsi="Arial"/>
          <w:sz w:val="24"/>
          <w:szCs w:val="24"/>
        </w:rPr>
        <w:t xml:space="preserve">Garantizar el no repudio de órdenes de pago y transferencias. Demostrar fehacientemente que el titular de la cuenta autorizó cada operación.</w:t>
      </w:r>
    </w:p>
    <w:p>
      <w:pPr>
        <w:spacing w:after="160"/>
        <w:jc w:val="both"/>
      </w:pPr>
      <w:r>
        <w:rPr>
          <w:rFonts w:ascii="Arial" w:cs="Arial" w:eastAsia="Arial" w:hAnsi="Arial"/>
          <w:b/>
          <w:bCs/>
          <w:sz w:val="24"/>
          <w:szCs w:val="24"/>
        </w:rPr>
        <w:t xml:space="preserve">Método criptográfico seleccionado:</w:t>
      </w:r>
    </w:p>
    <w:p>
      <w:pPr>
        <w:spacing w:after="160"/>
        <w:jc w:val="both"/>
      </w:pPr>
      <w:r>
        <w:rPr>
          <w:rFonts w:ascii="Arial" w:cs="Arial" w:eastAsia="Arial" w:hAnsi="Arial"/>
          <w:sz w:val="24"/>
          <w:szCs w:val="24"/>
        </w:rPr>
        <w:t xml:space="preserve">ECDSA con curva P-256 (secp256r1) / RSA-PSS con SHA-256 (alternativa para compatibilidad)</w:t>
      </w:r>
    </w:p>
    <w:p>
      <w:pPr>
        <w:spacing w:after="160"/>
        <w:jc w:val="both"/>
      </w:pPr>
      <w:r>
        <w:rPr>
          <w:rFonts w:ascii="Arial" w:cs="Arial" w:eastAsia="Arial" w:hAnsi="Arial"/>
          <w:b/>
          <w:bCs/>
          <w:sz w:val="24"/>
          <w:szCs w:val="24"/>
        </w:rPr>
        <w:t xml:space="preserve">Justificación de la selección:</w:t>
      </w:r>
    </w:p>
    <w:p>
      <w:pPr>
        <w:spacing w:after="160"/>
        <w:jc w:val="both"/>
      </w:pPr>
      <w:r>
        <w:rPr>
          <w:rFonts w:ascii="Arial" w:cs="Arial" w:eastAsia="Arial" w:hAnsi="Arial"/>
          <w:sz w:val="24"/>
          <w:szCs w:val="24"/>
        </w:rPr>
        <w:t xml:space="preserve">ECDSA-P256 ofrece firmas de 64 bytes con 128 bits de seguridad, apropiado para operaciones bancarias de volumen medio. RSA-PSS se mantiene como alternativa para sistemas legados. Ambos cumplen con FIPS 186-5.</w:t>
      </w:r>
    </w:p>
    <w:p>
      <w:pPr>
        <w:spacing w:after="160"/>
        <w:jc w:val="both"/>
      </w:pPr>
      <w:r>
        <w:rPr>
          <w:rFonts w:ascii="Arial" w:cs="Arial" w:eastAsia="Arial" w:hAnsi="Arial"/>
          <w:b/>
          <w:bCs/>
          <w:sz w:val="24"/>
          <w:szCs w:val="24"/>
        </w:rPr>
        <w:t xml:space="preserve">Riesgos identificados:</w:t>
      </w:r>
    </w:p>
    <w:p>
      <w:pPr>
        <w:spacing w:after="160"/>
        <w:jc w:val="both"/>
      </w:pPr>
      <w:r>
        <w:rPr>
          <w:rFonts w:ascii="Arial" w:cs="Arial" w:eastAsia="Arial" w:hAnsi="Arial"/>
          <w:sz w:val="24"/>
          <w:szCs w:val="24"/>
        </w:rPr>
        <w:t xml:space="preserve">Repudio de transacciones por parte del cliente, falsificación de órdenes de pago, compromiso de la clave de firma.</w:t>
      </w:r>
    </w:p>
    <w:p>
      <w:pPr>
        <w:spacing w:after="160"/>
        <w:jc w:val="both"/>
      </w:pPr>
      <w:r>
        <w:rPr>
          <w:rFonts w:ascii="Arial" w:cs="Arial" w:eastAsia="Arial" w:hAnsi="Arial"/>
          <w:b/>
          <w:bCs/>
          <w:sz w:val="24"/>
          <w:szCs w:val="24"/>
        </w:rPr>
        <w:t xml:space="preserve">Plan de mitigación:</w:t>
      </w:r>
    </w:p>
    <w:p>
      <w:pPr>
        <w:spacing w:after="160"/>
        <w:jc w:val="both"/>
      </w:pPr>
      <w:r>
        <w:rPr>
          <w:rFonts w:ascii="Arial" w:cs="Arial" w:eastAsia="Arial" w:hAnsi="Arial"/>
          <w:sz w:val="24"/>
          <w:szCs w:val="24"/>
        </w:rPr>
        <w:t xml:space="preserve">Almacenamiento de claves privadas en HSM (Hardware Security Module), política de rotación de claves anual, registro inmutable de todas las firmas con timestamp de autoridad certificadora de tiempo (TSA), y procedimiento de disputa con evidencia criptográfica.</w:t>
      </w:r>
    </w:p>
    <w:p>
      <w:r>
        <w:t xml:space="preserve"/>
      </w:r>
    </w:p>
    <w:p>
      <w:pPr>
        <w:pStyle w:val="Heading2"/>
      </w:pPr>
      <w:r>
        <w:rPr>
          <w:rFonts w:ascii="Arial" w:cs="Arial" w:eastAsia="Arial" w:hAnsi="Arial"/>
          <w:b/>
          <w:bCs/>
          <w:sz w:val="28"/>
          <w:szCs w:val="28"/>
        </w:rPr>
        <w:t xml:space="preserve">A4. Almacenamiento de Datos Sensibles (Base de Datos) — Nivel: ALTO</w:t>
      </w:r>
    </w:p>
    <w:p>
      <w:pPr>
        <w:spacing w:after="160"/>
        <w:jc w:val="both"/>
      </w:pPr>
      <w:r>
        <w:rPr>
          <w:rFonts w:ascii="Arial" w:cs="Arial" w:eastAsia="Arial" w:hAnsi="Arial"/>
          <w:b/>
          <w:bCs/>
          <w:sz w:val="24"/>
          <w:szCs w:val="24"/>
        </w:rPr>
        <w:t xml:space="preserve">Necesidades de seguridad identificadas:</w:t>
      </w:r>
    </w:p>
    <w:p>
      <w:pPr>
        <w:spacing w:after="160"/>
        <w:jc w:val="both"/>
      </w:pPr>
      <w:r>
        <w:rPr>
          <w:rFonts w:ascii="Arial" w:cs="Arial" w:eastAsia="Arial" w:hAnsi="Arial"/>
          <w:sz w:val="24"/>
          <w:szCs w:val="24"/>
        </w:rPr>
        <w:t xml:space="preserve">Proteger números de cuenta, datos personales (PII), saldos e historial de transacciones almacenados en bases de datos, incluso ante compromiso del servidor.</w:t>
      </w:r>
    </w:p>
    <w:p>
      <w:pPr>
        <w:spacing w:after="160"/>
        <w:jc w:val="both"/>
      </w:pPr>
      <w:r>
        <w:rPr>
          <w:rFonts w:ascii="Arial" w:cs="Arial" w:eastAsia="Arial" w:hAnsi="Arial"/>
          <w:b/>
          <w:bCs/>
          <w:sz w:val="24"/>
          <w:szCs w:val="24"/>
        </w:rPr>
        <w:t xml:space="preserve">Método criptográfico seleccionado:</w:t>
      </w:r>
    </w:p>
    <w:p>
      <w:pPr>
        <w:spacing w:after="160"/>
        <w:jc w:val="both"/>
      </w:pPr>
      <w:r>
        <w:rPr>
          <w:rFonts w:ascii="Arial" w:cs="Arial" w:eastAsia="Arial" w:hAnsi="Arial"/>
          <w:sz w:val="24"/>
          <w:szCs w:val="24"/>
        </w:rPr>
        <w:t xml:space="preserve">AES-256 cifrado a nivel de campo (datos PII) + SHA-256 con sal (tokens internos) + Argon2id (contraseñas almacenadas)</w:t>
      </w:r>
    </w:p>
    <w:p>
      <w:pPr>
        <w:spacing w:after="160"/>
        <w:jc w:val="both"/>
      </w:pPr>
      <w:r>
        <w:rPr>
          <w:rFonts w:ascii="Arial" w:cs="Arial" w:eastAsia="Arial" w:hAnsi="Arial"/>
          <w:b/>
          <w:bCs/>
          <w:sz w:val="24"/>
          <w:szCs w:val="24"/>
        </w:rPr>
        <w:t xml:space="preserve">Justificación de la selección:</w:t>
      </w:r>
    </w:p>
    <w:p>
      <w:pPr>
        <w:spacing w:after="160"/>
        <w:jc w:val="both"/>
      </w:pPr>
      <w:r>
        <w:rPr>
          <w:rFonts w:ascii="Arial" w:cs="Arial" w:eastAsia="Arial" w:hAnsi="Arial"/>
          <w:sz w:val="24"/>
          <w:szCs w:val="24"/>
        </w:rPr>
        <w:t xml:space="preserve">El cifrado a nivel de campo aísla el impacto de una brecha; incluso con acceso a la base de datos, los campos cifrados son inútiles sin la clave de cifrado. Argon2id es resistente a ataques GPU/ASIC por su memory-hardness.</w:t>
      </w:r>
    </w:p>
    <w:p>
      <w:pPr>
        <w:spacing w:after="160"/>
        <w:jc w:val="both"/>
      </w:pPr>
      <w:r>
        <w:rPr>
          <w:rFonts w:ascii="Arial" w:cs="Arial" w:eastAsia="Arial" w:hAnsi="Arial"/>
          <w:b/>
          <w:bCs/>
          <w:sz w:val="24"/>
          <w:szCs w:val="24"/>
        </w:rPr>
        <w:t xml:space="preserve">Riesgos identificados:</w:t>
      </w:r>
    </w:p>
    <w:p>
      <w:pPr>
        <w:spacing w:after="160"/>
        <w:jc w:val="both"/>
      </w:pPr>
      <w:r>
        <w:rPr>
          <w:rFonts w:ascii="Arial" w:cs="Arial" w:eastAsia="Arial" w:hAnsi="Arial"/>
          <w:sz w:val="24"/>
          <w:szCs w:val="24"/>
        </w:rPr>
        <w:t xml:space="preserve">SQL injection con exfiltración masiva de datos, acceso interno no autorizado (insider threat), pérdida o robo de backups.</w:t>
      </w:r>
    </w:p>
    <w:p>
      <w:pPr>
        <w:spacing w:after="160"/>
        <w:jc w:val="both"/>
      </w:pPr>
      <w:r>
        <w:rPr>
          <w:rFonts w:ascii="Arial" w:cs="Arial" w:eastAsia="Arial" w:hAnsi="Arial"/>
          <w:b/>
          <w:bCs/>
          <w:sz w:val="24"/>
          <w:szCs w:val="24"/>
        </w:rPr>
        <w:t xml:space="preserve">Plan de mitigación:</w:t>
      </w:r>
    </w:p>
    <w:p>
      <w:pPr>
        <w:spacing w:after="160"/>
        <w:jc w:val="both"/>
      </w:pPr>
      <w:r>
        <w:rPr>
          <w:rFonts w:ascii="Arial" w:cs="Arial" w:eastAsia="Arial" w:hAnsi="Arial"/>
          <w:sz w:val="24"/>
          <w:szCs w:val="24"/>
        </w:rPr>
        <w:t xml:space="preserve">Rotación periódica de claves de cifrado (key rotation anual), separación de la clave maestra en módulo HSM externo, cifrado también de backups con clave diferente, y monitoreo de accesos masivos a la base de datos (anomaly detection).</w:t>
      </w:r>
    </w:p>
    <w:p>
      <w:r>
        <w:t xml:space="preserve"/>
      </w:r>
    </w:p>
    <w:p>
      <w:pPr>
        <w:pStyle w:val="Heading2"/>
      </w:pPr>
      <w:r>
        <w:rPr>
          <w:rFonts w:ascii="Arial" w:cs="Arial" w:eastAsia="Arial" w:hAnsi="Arial"/>
          <w:b/>
          <w:bCs/>
          <w:sz w:val="28"/>
          <w:szCs w:val="28"/>
        </w:rPr>
        <w:t xml:space="preserve">A5. Comunicación entre Microservicios (API Interna) — Nivel: MEDIO-ALTO</w:t>
      </w:r>
    </w:p>
    <w:p>
      <w:pPr>
        <w:spacing w:after="160"/>
        <w:jc w:val="both"/>
      </w:pPr>
      <w:r>
        <w:rPr>
          <w:rFonts w:ascii="Arial" w:cs="Arial" w:eastAsia="Arial" w:hAnsi="Arial"/>
          <w:b/>
          <w:bCs/>
          <w:sz w:val="24"/>
          <w:szCs w:val="24"/>
        </w:rPr>
        <w:t xml:space="preserve">Necesidades de seguridad identificadas:</w:t>
      </w:r>
    </w:p>
    <w:p>
      <w:pPr>
        <w:spacing w:after="160"/>
        <w:jc w:val="both"/>
      </w:pPr>
      <w:r>
        <w:rPr>
          <w:rFonts w:ascii="Arial" w:cs="Arial" w:eastAsia="Arial" w:hAnsi="Arial"/>
          <w:sz w:val="24"/>
          <w:szCs w:val="24"/>
        </w:rPr>
        <w:t xml:space="preserve">Asegurar la autenticación mutua y confidencialidad entre microservicios del backend bancario para prevenir movimiento lateral en caso de intrusión.</w:t>
      </w:r>
    </w:p>
    <w:p>
      <w:pPr>
        <w:spacing w:after="160"/>
        <w:jc w:val="both"/>
      </w:pPr>
      <w:r>
        <w:rPr>
          <w:rFonts w:ascii="Arial" w:cs="Arial" w:eastAsia="Arial" w:hAnsi="Arial"/>
          <w:b/>
          <w:bCs/>
          <w:sz w:val="24"/>
          <w:szCs w:val="24"/>
        </w:rPr>
        <w:t xml:space="preserve">Método criptográfico seleccionado:</w:t>
      </w:r>
    </w:p>
    <w:p>
      <w:pPr>
        <w:spacing w:after="160"/>
        <w:jc w:val="both"/>
      </w:pPr>
      <w:r>
        <w:rPr>
          <w:rFonts w:ascii="Arial" w:cs="Arial" w:eastAsia="Arial" w:hAnsi="Arial"/>
          <w:sz w:val="24"/>
          <w:szCs w:val="24"/>
        </w:rPr>
        <w:t xml:space="preserve">mTLS (TLS 1.3 con autenticación mutua de certificados) + JWT firmado con RS256 para autorización de endpoints</w:t>
      </w:r>
    </w:p>
    <w:p>
      <w:pPr>
        <w:spacing w:after="160"/>
        <w:jc w:val="both"/>
      </w:pPr>
      <w:r>
        <w:rPr>
          <w:rFonts w:ascii="Arial" w:cs="Arial" w:eastAsia="Arial" w:hAnsi="Arial"/>
          <w:b/>
          <w:bCs/>
          <w:sz w:val="24"/>
          <w:szCs w:val="24"/>
        </w:rPr>
        <w:t xml:space="preserve">Justificación de la selección:</w:t>
      </w:r>
    </w:p>
    <w:p>
      <w:pPr>
        <w:spacing w:after="160"/>
        <w:jc w:val="both"/>
      </w:pPr>
      <w:r>
        <w:rPr>
          <w:rFonts w:ascii="Arial" w:cs="Arial" w:eastAsia="Arial" w:hAnsi="Arial"/>
          <w:sz w:val="24"/>
          <w:szCs w:val="24"/>
        </w:rPr>
        <w:t xml:space="preserve">mTLS garantiza que tanto el cliente como el servidor de la comunicación son entidades legítimas del sistema. La combinación con JWT permite autorización granular por endpoint sin overhead de certificados por cada recurso.</w:t>
      </w:r>
    </w:p>
    <w:p>
      <w:pPr>
        <w:spacing w:after="160"/>
        <w:jc w:val="both"/>
      </w:pPr>
      <w:r>
        <w:rPr>
          <w:rFonts w:ascii="Arial" w:cs="Arial" w:eastAsia="Arial" w:hAnsi="Arial"/>
          <w:b/>
          <w:bCs/>
          <w:sz w:val="24"/>
          <w:szCs w:val="24"/>
        </w:rPr>
        <w:t xml:space="preserve">Riesgos identificados:</w:t>
      </w:r>
    </w:p>
    <w:p>
      <w:pPr>
        <w:spacing w:after="160"/>
        <w:jc w:val="both"/>
      </w:pPr>
      <w:r>
        <w:rPr>
          <w:rFonts w:ascii="Arial" w:cs="Arial" w:eastAsia="Arial" w:hAnsi="Arial"/>
          <w:sz w:val="24"/>
          <w:szCs w:val="24"/>
        </w:rPr>
        <w:t xml:space="preserve">Compromiso de un microservicio utilizado para movimiento lateral, escalada de privilegios, inyección de mensajes maliciosos en la cola de eventos interna.</w:t>
      </w:r>
    </w:p>
    <w:p>
      <w:pPr>
        <w:spacing w:after="160"/>
        <w:jc w:val="both"/>
      </w:pPr>
      <w:r>
        <w:rPr>
          <w:rFonts w:ascii="Arial" w:cs="Arial" w:eastAsia="Arial" w:hAnsi="Arial"/>
          <w:b/>
          <w:bCs/>
          <w:sz w:val="24"/>
          <w:szCs w:val="24"/>
        </w:rPr>
        <w:t xml:space="preserve">Plan de mitigación:</w:t>
      </w:r>
    </w:p>
    <w:p>
      <w:pPr>
        <w:spacing w:after="160"/>
        <w:jc w:val="both"/>
      </w:pPr>
      <w:r>
        <w:rPr>
          <w:rFonts w:ascii="Arial" w:cs="Arial" w:eastAsia="Arial" w:hAnsi="Arial"/>
          <w:sz w:val="24"/>
          <w:szCs w:val="24"/>
        </w:rPr>
        <w:t xml:space="preserve">Emisión de certificados de corta duración (24-48 horas) con renovación automática mediante cert-manager, principio de mínimo privilegio en scopes JWT, zero-trust network architecture, y detección de anomalías en patrones de comunicación entre servicios.</w:t>
      </w:r>
    </w:p>
    <w:p>
      <w:r>
        <w:t xml:space="preserve"/>
      </w:r>
    </w:p>
    <w:p>
      <w:pPr>
        <w:pStyle w:val="Heading1"/>
      </w:pPr>
      <w:r>
        <w:rPr>
          <w:rFonts w:ascii="Arial" w:cs="Arial" w:eastAsia="Arial" w:hAnsi="Arial"/>
          <w:b/>
          <w:bCs/>
          <w:sz w:val="32"/>
          <w:szCs w:val="32"/>
        </w:rPr>
        <w:t xml:space="preserve">5. Tabla Consolidada del Plan Criptográfico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000"/>
        <w:gridCol w:w="3860"/>
        <w:gridCol w:w="20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Método Criptográfico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Estándar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CRÍTICO</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bcrypt (pass) + HMAC-SHA1 TOTP (2FA) + TLS 1.3 + X.509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NIST SP 800-63B, RFC 6238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TX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CRÍTICO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 ECDHE-AES-256-GCM (tránsito) + AES-256-CBC/HMAC (reposo)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DSS 4.0, RFC 8446</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A3</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Firmas Digitales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ALTO</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ECDSA P-256 / RSA-PSS SHA-256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FIPS 186-5, RFC 8017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 Sensibles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campo + Argon2id contraseñas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SP 800-132, RFC 9106</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APIs Internas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MEDIO-ALTO</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mTLS 1.3 + JWT RS256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RFC 7519, SPIFFE/SPIRE</w:t>
            </w:r>
          </w:p>
        </w:tc>
      </w:tr>
    </w:tbl>
    <w:p>
      <w:r>
        <w:t xml:space="preserve"/>
      </w:r>
    </w:p>
    <w:p>
      <w:pPr>
        <w:pStyle w:val="Heading1"/>
      </w:pPr>
      <w:r>
        <w:rPr>
          <w:rFonts w:ascii="Arial" w:cs="Arial" w:eastAsia="Arial" w:hAnsi="Arial"/>
          <w:b/>
          <w:bCs/>
          <w:sz w:val="32"/>
          <w:szCs w:val="32"/>
        </w:rPr>
        <w:t xml:space="preserve">6. Conclusión</w:t>
      </w:r>
    </w:p>
    <w:p>
      <w:pPr>
        <w:spacing w:after="160"/>
        <w:jc w:val="both"/>
      </w:pPr>
      <w:r>
        <w:rPr>
          <w:rFonts w:ascii="Arial" w:cs="Arial" w:eastAsia="Arial" w:hAnsi="Arial"/>
          <w:sz w:val="24"/>
          <w:szCs w:val="24"/>
        </w:rPr>
        <w:t xml:space="preserve">El plan criptográfico desarrollado para la plataforma de banca en línea demuestra que la selección de métodos criptográficos debe ser contextual, proporcional al nivel de riesgo y alineada con estándares internacionales reconocidos. No existe un único algoritmo que resuelva todas las necesidades; la arquitectura criptográfica efectiva combina múltiples mecanismos complementarios.</w:t>
      </w:r>
    </w:p>
    <w:p>
      <w:pPr>
        <w:spacing w:after="160"/>
        <w:jc w:val="both"/>
      </w:pPr>
      <w:r>
        <w:rPr>
          <w:rFonts w:ascii="Arial" w:cs="Arial" w:eastAsia="Arial" w:hAnsi="Arial"/>
          <w:sz w:val="24"/>
          <w:szCs w:val="24"/>
        </w:rPr>
        <w:t xml:space="preserve">Los planes de mitigación propuestos reconocen que la criptografía, por sólida que sea matemáticamente, puede ser comprometida por fallos en su implementación, gestión de claves deficiente o errores en la lógica de negocio. Por ello, la criptografía debe formar parte de una estrategia de defensa en profundidad que incluya monitoreo continuo, respuesta a incidentes y auditorías periódicas.</w:t>
      </w:r>
    </w:p>
    <w:p>
      <w:r>
        <w:t xml:space="preserve"/>
      </w:r>
    </w:p>
    <w:p>
      <w:pPr>
        <w:pStyle w:val="Heading1"/>
      </w:pPr>
      <w:r>
        <w:rPr>
          <w:rFonts w:ascii="Arial" w:cs="Arial" w:eastAsia="Arial" w:hAnsi="Arial"/>
          <w:b/>
          <w:bCs/>
          <w:sz w:val="32"/>
          <w:szCs w:val="32"/>
        </w:rPr>
        <w:t xml:space="preserve">7. Referencias</w:t>
      </w:r>
    </w:p>
    <w:p>
      <w:pPr>
        <w:pStyle w:val="ListParagraph"/>
        <w:numPr>
          <w:ilvl w:val="0"/>
          <w:numId w:val="2"/>
        </w:numPr>
      </w:pPr>
      <w:r>
        <w:rPr>
          <w:rFonts w:ascii="Arial" w:cs="Arial" w:eastAsia="Arial" w:hAnsi="Arial"/>
          <w:sz w:val="24"/>
          <w:szCs w:val="24"/>
        </w:rPr>
        <w:t xml:space="preserve">PCI Security Standards Council. (2022). PCI DSS v4.0. PCI SSC.</w:t>
      </w:r>
    </w:p>
    <w:p>
      <w:pPr>
        <w:pStyle w:val="ListParagraph"/>
        <w:numPr>
          <w:ilvl w:val="0"/>
          <w:numId w:val="2"/>
        </w:numPr>
      </w:pPr>
      <w:r>
        <w:rPr>
          <w:rFonts w:ascii="Arial" w:cs="Arial" w:eastAsia="Arial" w:hAnsi="Arial"/>
          <w:sz w:val="24"/>
          <w:szCs w:val="24"/>
        </w:rPr>
        <w:t xml:space="preserve">NIST. (2023). SP 800-63B: Digital Identity Guidelines — Authentication and Lifecycle Management.</w:t>
      </w:r>
    </w:p>
    <w:p>
      <w:pPr>
        <w:pStyle w:val="ListParagraph"/>
        <w:numPr>
          <w:ilvl w:val="0"/>
          <w:numId w:val="2"/>
        </w:numPr>
      </w:pPr>
      <w:r>
        <w:rPr>
          <w:rFonts w:ascii="Arial" w:cs="Arial" w:eastAsia="Arial" w:hAnsi="Arial"/>
          <w:sz w:val="24"/>
          <w:szCs w:val="24"/>
        </w:rPr>
        <w:t xml:space="preserve">NIST. (2020). SP 800-131A Rev. 2: Transitioning the Use of Cryptographic Algorithms and Key Lengths.</w:t>
      </w:r>
    </w:p>
    <w:p>
      <w:pPr>
        <w:pStyle w:val="ListParagraph"/>
        <w:numPr>
          <w:ilvl w:val="0"/>
          <w:numId w:val="2"/>
        </w:numPr>
      </w:pPr>
      <w:r>
        <w:rPr>
          <w:rFonts w:ascii="Arial" w:cs="Arial" w:eastAsia="Arial" w:hAnsi="Arial"/>
          <w:sz w:val="24"/>
          <w:szCs w:val="24"/>
        </w:rPr>
        <w:t xml:space="preserve">Rescorla, E. (2018). RFC 8446: The Transport Layer Security (TLS) Protocol Version 1.3. IETF.</w:t>
      </w:r>
    </w:p>
    <w:p>
      <w:pPr>
        <w:pStyle w:val="ListParagraph"/>
        <w:numPr>
          <w:ilvl w:val="0"/>
          <w:numId w:val="2"/>
        </w:numPr>
      </w:pPr>
      <w:r>
        <w:rPr>
          <w:rFonts w:ascii="Arial" w:cs="Arial" w:eastAsia="Arial" w:hAnsi="Arial"/>
          <w:sz w:val="24"/>
          <w:szCs w:val="24"/>
        </w:rPr>
        <w:t xml:space="preserve">RFC 9106. (2021). Argon2 Memory-Hard Function for Password Hashing and Proof-of-Work Applications. IETF.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2026-05-06T00:54:36.091Z</dcterms:created>
  <dcterms:modified xsi:type="dcterms:W3CDTF">2026-05-06T00:54:36.091Z</dcterms:modified>
</cp:coreProperties>
</file>

<file path=docProps/custom.xml><?xml version="1.0" encoding="utf-8"?>
<Properties xmlns="http://schemas.openxmlformats.org/officeDocument/2006/custom-properties" xmlns:vt="http://schemas.openxmlformats.org/officeDocument/2006/docPropsVTypes"/>
</file>