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3864"/>
          <w:sz w:val="40"/>
          <w:szCs w:val="40"/>
        </w:rPr>
        <w:t xml:space="preserve">Análisis entre Métodos Criptográficos Clásicos contra Postcuánticos</w:t>
      </w:r>
    </w:p>
    <w:p>
      <w:pPr>
        <w:spacing w:after="200"/>
        <w:jc w:val="center"/>
      </w:pPr>
      <w:r>
        <w:rPr>
          <w:rFonts w:ascii="Arial" w:cs="Arial" w:eastAsia="Arial" w:hAnsi="Arial"/>
          <w:i/>
          <w:iCs/>
          <w:color w:val="555555"/>
          <w:sz w:val="24"/>
          <w:szCs w:val="24"/>
        </w:rPr>
        <w:t xml:space="preserve">Ciberseguridad — Fundamentos de Criptografía</w:t>
      </w:r>
    </w:p>
    <w:p>
      <w:pPr>
        <w:spacing w:after="1200"/>
        <w:jc w:val="center"/>
      </w:pPr>
      <w:r>
        <w:rPr>
          <w:rFonts w:ascii="Arial" w:cs="Arial" w:eastAsia="Arial" w:hAnsi="Arial"/>
          <w:color w:val="555555"/>
          <w:sz w:val="24"/>
          <w:szCs w:val="24"/>
        </w:rPr>
        <w:t xml:space="preserve">Mayo 2026</w:t>
      </w:r>
    </w:p>
    <w:p>
      <w:pPr>
        <w:pStyle w:val="Heading1"/>
      </w:pPr>
      <w:r>
        <w:rPr>
          <w:rFonts w:ascii="Arial" w:cs="Arial" w:eastAsia="Arial" w:hAnsi="Arial"/>
          <w:b/>
          <w:bCs/>
          <w:sz w:val="32"/>
          <w:szCs w:val="32"/>
        </w:rPr>
        <w:t xml:space="preserve">1. Introducción</w:t>
      </w:r>
    </w:p>
    <w:p>
      <w:pPr>
        <w:spacing w:after="160"/>
        <w:jc w:val="both"/>
      </w:pPr>
      <w:r>
        <w:rPr>
          <w:rFonts w:ascii="Arial" w:cs="Arial" w:eastAsia="Arial" w:hAnsi="Arial"/>
          <w:sz w:val="24"/>
          <w:szCs w:val="24"/>
        </w:rPr>
        <w:t xml:space="preserve">La criptografía de clave pública, tal como la conocemos hoy, se sustenta en problemas matemáticos cuya complejidad resulta intratable para las computadoras clásicas actuales: la factorización de enteros (RSA), el logaritmo discreto (Diffie-Hellman) y el logaritmo discreto en curvas elípticas (ECDSA). Sin embargo, el advenimiento de la computación cuántica amenaza con invalidar estos fundamentos.</w:t>
      </w:r>
    </w:p>
    <w:p>
      <w:pPr>
        <w:spacing w:after="160"/>
        <w:jc w:val="both"/>
      </w:pPr>
      <w:r>
        <w:rPr>
          <w:rFonts w:ascii="Arial" w:cs="Arial" w:eastAsia="Arial" w:hAnsi="Arial"/>
          <w:sz w:val="24"/>
          <w:szCs w:val="24"/>
        </w:rPr>
        <w:t xml:space="preserve">En 1994, Peter Shor demostró que una computadora cuántica con suficientes qubits físicos podría resolver el problema de factorización y el logaritmo discreto en tiempo polinomial, lo que comprometería directamente a RSA, Diffie-Hellman y ECDSA. Ante esta amenaza, el NIST (National Institute of Standards and Technology) inició en 2016 un proceso de estandarización de algoritmos postcuánticos, culminando en 2024 con la publicación de los primeros estándares: FIPS 203 (ML-KEM/Kyber), FIPS 204 (ML-DSA/Dilithium) y FIPS 205 (SLH-DSA/SPHINCS+).</w:t>
      </w:r>
    </w:p>
    <w:p>
      <w:pPr>
        <w:spacing w:after="160"/>
        <w:jc w:val="both"/>
      </w:pPr>
      <w:r>
        <w:rPr>
          <w:rFonts w:ascii="Arial" w:cs="Arial" w:eastAsia="Arial" w:hAnsi="Arial"/>
          <w:sz w:val="24"/>
          <w:szCs w:val="24"/>
        </w:rPr>
        <w:t xml:space="preserve">El presente análisis compara cuatro algoritmos clásicos (Diffie-Hellman, RSA, ECDSA) y uno postcuántico representativo (Criptografía basada en retículos - CRYSTALS), examinando su funcionamiento, ventajas, desventajas y características clave.</w:t>
      </w:r>
    </w:p>
    <w:p>
      <w:r>
        <w:t xml:space="preserve"/>
      </w:r>
    </w:p>
    <w:p>
      <w:pPr>
        <w:pStyle w:val="Heading1"/>
      </w:pPr>
      <w:r>
        <w:rPr>
          <w:rFonts w:ascii="Arial" w:cs="Arial" w:eastAsia="Arial" w:hAnsi="Arial"/>
          <w:b/>
          <w:bCs/>
          <w:sz w:val="32"/>
          <w:szCs w:val="32"/>
        </w:rPr>
        <w:t xml:space="preserve">2. Resumen de Funcionamiento por Algoritmo</w:t>
      </w:r>
    </w:p>
    <w:p>
      <w:pPr>
        <w:pStyle w:val="Heading2"/>
      </w:pPr>
      <w:r>
        <w:rPr>
          <w:rFonts w:ascii="Arial" w:cs="Arial" w:eastAsia="Arial" w:hAnsi="Arial"/>
          <w:b/>
          <w:bCs/>
          <w:sz w:val="28"/>
          <w:szCs w:val="28"/>
        </w:rPr>
        <w:t xml:space="preserve">2.1 Diffie-Hellman (DH)</w:t>
      </w:r>
    </w:p>
    <w:p>
      <w:pPr>
        <w:spacing w:after="160"/>
        <w:jc w:val="both"/>
      </w:pPr>
      <w:r>
        <w:rPr>
          <w:rFonts w:ascii="Arial" w:cs="Arial" w:eastAsia="Arial" w:hAnsi="Arial"/>
          <w:sz w:val="24"/>
          <w:szCs w:val="24"/>
        </w:rPr>
        <w:t xml:space="preserve">Diffie-Hellman es un protocolo de acuerdo de claves que permite a dos partes establecer un secreto compartido sobre un canal inseguro. Su funcionamiento se basa en la exponenciación modular en el grupo multiplicativo Z*_p. Alice y Bob seleccionan exponentes privados a y b respectivamente, calculan claves públicas A = g^a mod p y B = g^b mod p, y las intercambian. El secreto compartido K = g^(ab) mod p puede ser calculado independientemente por ambas partes. Variantes modernas como ECDH operan sobre curvas elípticas, logrando mayor eficiencia.</w:t>
      </w:r>
    </w:p>
    <w:p>
      <w:pPr>
        <w:pStyle w:val="Heading2"/>
      </w:pPr>
      <w:r>
        <w:rPr>
          <w:rFonts w:ascii="Arial" w:cs="Arial" w:eastAsia="Arial" w:hAnsi="Arial"/>
          <w:b/>
          <w:bCs/>
          <w:sz w:val="28"/>
          <w:szCs w:val="28"/>
        </w:rPr>
        <w:t xml:space="preserve">2.2 RSA</w:t>
      </w:r>
    </w:p>
    <w:p>
      <w:pPr>
        <w:spacing w:after="160"/>
        <w:jc w:val="both"/>
      </w:pPr>
      <w:r>
        <w:rPr>
          <w:rFonts w:ascii="Arial" w:cs="Arial" w:eastAsia="Arial" w:hAnsi="Arial"/>
          <w:sz w:val="24"/>
          <w:szCs w:val="24"/>
        </w:rPr>
        <w:t xml:space="preserve">RSA es el primer sistema criptográfico de clave pública ampliamente adoptado. Su funcionamiento se basa en la aritmética modular con dos claves derivadas de la factorización de un módulo n = p × q. El cifrado se realiza como c = m^e mod n con la clave pública (n, e), y el descifrado como m = c^d mod n con la clave privada (n, d). RSA soporta tanto cifrado como firma digital, siendo este último uso el más frecuente en la infraestructura de PKI moderna.</w:t>
      </w:r>
    </w:p>
    <w:p>
      <w:pPr>
        <w:pStyle w:val="Heading2"/>
      </w:pPr>
      <w:r>
        <w:rPr>
          <w:rFonts w:ascii="Arial" w:cs="Arial" w:eastAsia="Arial" w:hAnsi="Arial"/>
          <w:b/>
          <w:bCs/>
          <w:sz w:val="28"/>
          <w:szCs w:val="28"/>
        </w:rPr>
        <w:t xml:space="preserve">2.3 ECDSA</w:t>
      </w:r>
    </w:p>
    <w:p>
      <w:pPr>
        <w:spacing w:after="160"/>
        <w:jc w:val="both"/>
      </w:pPr>
      <w:r>
        <w:rPr>
          <w:rFonts w:ascii="Arial" w:cs="Arial" w:eastAsia="Arial" w:hAnsi="Arial"/>
          <w:sz w:val="24"/>
          <w:szCs w:val="24"/>
        </w:rPr>
        <w:t xml:space="preserve">ECDSA es un algoritmo exclusivamente de firma digital basado en la aritmética de curvas elípticas. La firma de un mensaje M produce un par (r, s) derivado de un nonce aleatorio k y la clave privada d, mientras que la verificación utiliza la clave pública Q = d*G. Su principal ventaja frente a RSA es la eficiencia: proporciona seguridad equivalente con claves significativamente menores, lo que lo hace ideal para dispositivos con recursos limitados como tarjetas inteligentes e IoT.</w:t>
      </w:r>
    </w:p>
    <w:p>
      <w:pPr>
        <w:pStyle w:val="Heading2"/>
      </w:pPr>
      <w:r>
        <w:rPr>
          <w:rFonts w:ascii="Arial" w:cs="Arial" w:eastAsia="Arial" w:hAnsi="Arial"/>
          <w:b/>
          <w:bCs/>
          <w:sz w:val="28"/>
          <w:szCs w:val="28"/>
        </w:rPr>
        <w:t xml:space="preserve">2.4 Criptografía Basada en Retículos (CRYSTALS-Kyber y CRYSTALS-Dilithium)</w:t>
      </w:r>
    </w:p>
    <w:p>
      <w:pPr>
        <w:spacing w:after="160"/>
        <w:jc w:val="both"/>
      </w:pPr>
      <w:r>
        <w:rPr>
          <w:rFonts w:ascii="Arial" w:cs="Arial" w:eastAsia="Arial" w:hAnsi="Arial"/>
          <w:sz w:val="24"/>
          <w:szCs w:val="24"/>
        </w:rPr>
        <w:t xml:space="preserve">Los algoritmos basados en retículos (lattice-based cryptography) son el paradigma dominante en criptografía postcuántica. Su seguridad se basa en la dificultad del problema Learning With Errors (LWE) y sus variantes modulares (MLWE, MSIS). CRYSTALS-Kyber (estandarizado como ML-KEM, FIPS 203) es un mecanismo de encapsulamiento de claves (KEM): el emisor genera un texto cifrado que encapsula una clave secreta, que solo el poseedor de la clave privada puede desencapsular. CRYSTALS-Dilithium (ML-DSA, FIPS 204) es el algoritmo de firma digital complementario.</w:t>
      </w:r>
    </w:p>
    <w:p>
      <w:pPr>
        <w:spacing w:after="160"/>
        <w:jc w:val="both"/>
      </w:pPr>
      <w:r>
        <w:rPr>
          <w:rFonts w:ascii="Arial" w:cs="Arial" w:eastAsia="Arial" w:hAnsi="Arial"/>
          <w:sz w:val="24"/>
          <w:szCs w:val="24"/>
        </w:rPr>
        <w:t xml:space="preserve">El mecanismo central consiste en operaciones de multiplicación de matrices en anillos de polinomios módulo q, donde el 'ruido' algebraico (el error en LWE) hace imposible distinguir el texto cifrado de un elemento aleatorio sin la clave privada.</w:t>
      </w:r>
    </w:p>
    <w:p>
      <w:r>
        <w:t xml:space="preserve"/>
      </w:r>
    </w:p>
    <w:p>
      <w:pPr>
        <w:pStyle w:val="Heading1"/>
      </w:pPr>
      <w:r>
        <w:rPr>
          <w:rFonts w:ascii="Arial" w:cs="Arial" w:eastAsia="Arial" w:hAnsi="Arial"/>
          <w:b/>
          <w:bCs/>
          <w:sz w:val="32"/>
          <w:szCs w:val="32"/>
        </w:rPr>
        <w:t xml:space="preserve">3. Comparativa de Ventajas y Desventajas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30"/>
        <w:gridCol w:w="3930"/>
      </w:tblGrid>
      <w:tr>
        <w:trPr>
          <w:tblHeader/>
        </w:trPr>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Algoritmo</w:t>
            </w:r>
          </w:p>
        </w:tc>
        <w:tc>
          <w:tcPr>
            <w:tcW w:type="dxa" w:w="393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Ventajas</w:t>
            </w:r>
          </w:p>
        </w:tc>
        <w:tc>
          <w:tcPr>
            <w:tcW w:type="dxa" w:w="393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Desventajas</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Diffie-Hellman</w:t>
            </w:r>
          </w:p>
        </w:tc>
        <w:tc>
          <w:tcPr>
            <w:tcW w:type="dxa" w:w="393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Primer protocolo de acuerdo de claves públicamente documentado. Forward Secrecy en variantes efímeras (DHE/ECDHE). Base de TLS, SSH y muchos protocolos modernos.</w:t>
            </w:r>
          </w:p>
        </w:tc>
        <w:tc>
          <w:tcPr>
            <w:tcW w:type="dxa" w:w="393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 proporciona autenticación por sí solo; vulnerable a MITM. Vulnerable al algoritmo de Shor. DH clásico con primos pequeños vulnerable a ataques de precómputo (Logjam).</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RSA</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Bien comprendido con décadas de análisis. Soporta cifrado y firma en un solo esquema. Amplia adopción y compatibilidad en PKI.</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Rendimiento bajo para operaciones de clave pública. Claves grandes (2048-4096 bits) para seguridad adecuada. Vulnerable al algoritmo de Shor. Padding incorrecto históricamente ha causado vulnerabilidades (PKCS#1 v1.5).</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ECDSA</w:t>
            </w:r>
          </w:p>
        </w:tc>
        <w:tc>
          <w:tcPr>
            <w:tcW w:type="dxa" w:w="393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Claves muy compactas (256 bits ≈ RSA-3072). Operaciones rápidas. Ideal para IoT y sistemas embebidos. Adoptado en TLS, SSH, blockchain.</w:t>
            </w:r>
          </w:p>
        </w:tc>
        <w:tc>
          <w:tcPr>
            <w:tcW w:type="dxa" w:w="393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Solo firma digital (no cifra). Requiere nonce k aleatorio y único; la reutilización compromete la clave privada. Vulnerable al algoritmo de Shor.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Retículos (CRYSTALS-Kyber/Dilithium)</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Resistente a ataques cuánticos (Shor/Grover). Estandarizado por NIST (2024). Operaciones eficientes en hardware moderno.</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Claves y textos cifrados más grandes que RSA/ECDSA. Menos madurez en análisis criptográfico histórico. Implementaciones aún en proceso de adopción generalizada.</w:t>
            </w:r>
          </w:p>
        </w:tc>
      </w:tr>
    </w:tbl>
    <w:p>
      <w:r>
        <w:t xml:space="preserve"/>
      </w:r>
    </w:p>
    <w:p>
      <w:pPr>
        <w:pStyle w:val="Heading1"/>
      </w:pPr>
      <w:r>
        <w:rPr>
          <w:rFonts w:ascii="Arial" w:cs="Arial" w:eastAsia="Arial" w:hAnsi="Arial"/>
          <w:b/>
          <w:bCs/>
          <w:sz w:val="32"/>
          <w:szCs w:val="32"/>
        </w:rPr>
        <w:t xml:space="preserve">4. Comparativa de Características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40"/>
        <w:gridCol w:w="1840"/>
        <w:gridCol w:w="1840"/>
        <w:gridCol w:w="184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Característica</w:t>
            </w:r>
          </w:p>
        </w:tc>
        <w:tc>
          <w:tcPr>
            <w:tcW w:type="dxa" w:w="18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Diffie-Hellman</w:t>
            </w:r>
          </w:p>
        </w:tc>
        <w:tc>
          <w:tcPr>
            <w:tcW w:type="dxa" w:w="18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RSA</w:t>
            </w:r>
          </w:p>
        </w:tc>
        <w:tc>
          <w:tcPr>
            <w:tcW w:type="dxa" w:w="18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ECDSA</w:t>
            </w:r>
          </w:p>
        </w:tc>
        <w:tc>
          <w:tcPr>
            <w:tcW w:type="dxa" w:w="18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CRYSTALS (Kyber/Dilithium)</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Problema matemático base</w:t>
            </w:r>
          </w:p>
        </w:tc>
        <w:tc>
          <w:tcPr>
            <w:tcW w:type="dxa" w:w="18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Logaritmo discreto (DLP)</w:t>
            </w:r>
          </w:p>
        </w:tc>
        <w:tc>
          <w:tcPr>
            <w:tcW w:type="dxa" w:w="18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Factorización de enteros (IFP)</w:t>
            </w:r>
          </w:p>
        </w:tc>
        <w:tc>
          <w:tcPr>
            <w:tcW w:type="dxa" w:w="18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Logaritmo discreto en EC (ECDLP)</w:t>
            </w:r>
          </w:p>
        </w:tc>
        <w:tc>
          <w:tcPr>
            <w:tcW w:type="dxa" w:w="18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Learning With Errors (LWE/MLWE)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Seguridad clásica (bits)</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112 con 2048 bits</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112 con 2048 bits</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128 con 256 bits (P-256)</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128+ (Kyber-512), 256+ (Kyber-1024)</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Resistencia cuántica</w:t>
            </w:r>
          </w:p>
        </w:tc>
        <w:tc>
          <w:tcPr>
            <w:tcW w:type="dxa" w:w="18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 — vulnerable a Shor</w:t>
            </w:r>
          </w:p>
        </w:tc>
        <w:tc>
          <w:tcPr>
            <w:tcW w:type="dxa" w:w="18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 — vulnerable a Shor</w:t>
            </w:r>
          </w:p>
        </w:tc>
        <w:tc>
          <w:tcPr>
            <w:tcW w:type="dxa" w:w="18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 — vulnerable a Shor</w:t>
            </w:r>
          </w:p>
        </w:tc>
        <w:tc>
          <w:tcPr>
            <w:tcW w:type="dxa" w:w="18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Sí — resistente a Shor y Grover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Tamaño de clave pública</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256 bytes (2048 bits)</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256 bytes (2048 bits)</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64 bytes (P-256)</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800 bytes (Kyber-512)</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Tamaño de clave privada</w:t>
            </w:r>
          </w:p>
        </w:tc>
        <w:tc>
          <w:tcPr>
            <w:tcW w:type="dxa" w:w="18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32 bytes aprox.</w:t>
            </w:r>
          </w:p>
        </w:tc>
        <w:tc>
          <w:tcPr>
            <w:tcW w:type="dxa" w:w="18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~1200 bytes (PKCS#8)</w:t>
            </w:r>
          </w:p>
        </w:tc>
        <w:tc>
          <w:tcPr>
            <w:tcW w:type="dxa" w:w="18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32 bytes</w:t>
            </w:r>
          </w:p>
        </w:tc>
        <w:tc>
          <w:tcPr>
            <w:tcW w:type="dxa" w:w="18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1632 bytes (Kyber-512)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Tamaño texto cifrado/firma</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 (acuerdo de clave)</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256 bytes</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64 bytes</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768 bytes (KEM) / 2420 bytes (firma Dilithium2)</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Rendimiento (operaciones/seg)</w:t>
            </w:r>
          </w:p>
        </w:tc>
        <w:tc>
          <w:tcPr>
            <w:tcW w:type="dxa" w:w="18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Medio</w:t>
            </w:r>
          </w:p>
        </w:tc>
        <w:tc>
          <w:tcPr>
            <w:tcW w:type="dxa" w:w="18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Lento (descifrado)</w:t>
            </w:r>
          </w:p>
        </w:tc>
        <w:tc>
          <w:tcPr>
            <w:tcW w:type="dxa" w:w="18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Rápido</w:t>
            </w:r>
          </w:p>
        </w:tc>
        <w:tc>
          <w:tcPr>
            <w:tcW w:type="dxa" w:w="18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Medio-alto (competitivo con RSA)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Complejidad de implementación</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Media</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Media-alta (padding crítico)</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Alta (gestión de nonce)</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Alta (aritmética modular de polinomios)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Función principal</w:t>
            </w:r>
          </w:p>
        </w:tc>
        <w:tc>
          <w:tcPr>
            <w:tcW w:type="dxa" w:w="18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Acuerdo de claves</w:t>
            </w:r>
          </w:p>
        </w:tc>
        <w:tc>
          <w:tcPr>
            <w:tcW w:type="dxa" w:w="18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Cifrado + Firma</w:t>
            </w:r>
          </w:p>
        </w:tc>
        <w:tc>
          <w:tcPr>
            <w:tcW w:type="dxa" w:w="18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Solo firma digital</w:t>
            </w:r>
          </w:p>
        </w:tc>
        <w:tc>
          <w:tcPr>
            <w:tcW w:type="dxa" w:w="18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KEM (Kyber) + Firma (Dilithium)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Estado de estandarización</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RFC 7919, NIST SP 800-56A</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PKCS#1 / RFC 8017</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FIPS 186-5</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FIPS 203 (KEM), FIPS 204 (Firma)</w:t>
            </w:r>
          </w:p>
        </w:tc>
      </w:tr>
    </w:tbl>
    <w:p>
      <w:r>
        <w:t xml:space="preserve"/>
      </w:r>
    </w:p>
    <w:p>
      <w:pPr>
        <w:pStyle w:val="Heading1"/>
      </w:pPr>
      <w:r>
        <w:rPr>
          <w:rFonts w:ascii="Arial" w:cs="Arial" w:eastAsia="Arial" w:hAnsi="Arial"/>
          <w:b/>
          <w:bCs/>
          <w:sz w:val="32"/>
          <w:szCs w:val="32"/>
        </w:rPr>
        <w:t xml:space="preserve">5. Análisis de Seguridad Cuántica</w:t>
      </w:r>
    </w:p>
    <w:p>
      <w:pPr>
        <w:pStyle w:val="Heading2"/>
      </w:pPr>
      <w:r>
        <w:rPr>
          <w:rFonts w:ascii="Arial" w:cs="Arial" w:eastAsia="Arial" w:hAnsi="Arial"/>
          <w:b/>
          <w:bCs/>
          <w:sz w:val="28"/>
          <w:szCs w:val="28"/>
        </w:rPr>
        <w:t xml:space="preserve">5.1 Amenaza Cuántica a los Algoritmos Clásicos</w:t>
      </w:r>
    </w:p>
    <w:p>
      <w:pPr>
        <w:spacing w:after="160"/>
        <w:jc w:val="both"/>
      </w:pPr>
      <w:r>
        <w:rPr>
          <w:rFonts w:ascii="Arial" w:cs="Arial" w:eastAsia="Arial" w:hAnsi="Arial"/>
          <w:sz w:val="24"/>
          <w:szCs w:val="24"/>
        </w:rPr>
        <w:t xml:space="preserve">El algoritmo de Shor (1994) resuelve tanto el problema de factorización de enteros como el del logaritmo discreto en tiempo polinomial O((log n)^3) en una computadora cuántica. Esto significa que RSA, Diffie-Hellman y ECDSA serían completamente comprometidos por una computadora cuántica criptográficamente relevante (CRQC).</w:t>
      </w:r>
    </w:p>
    <w:p>
      <w:pPr>
        <w:spacing w:after="160"/>
        <w:jc w:val="both"/>
      </w:pPr>
      <w:r>
        <w:rPr>
          <w:rFonts w:ascii="Arial" w:cs="Arial" w:eastAsia="Arial" w:hAnsi="Arial"/>
          <w:sz w:val="24"/>
          <w:szCs w:val="24"/>
        </w:rPr>
        <w:t xml:space="preserve">El algoritmo de Grover (1996) reduce la seguridad del cifrado simétrico a la mitad: AES-128 quedaría con seguridad de 64 bits, mientras que AES-256 mantendría 128 bits de seguridad efectiva. Por ello, el cifrado simétrico no requiere cambio de algoritmo, sino aumento de tamaño de clave.</w:t>
      </w:r>
    </w:p>
    <w:p>
      <w:pPr>
        <w:pStyle w:val="Heading2"/>
      </w:pPr>
      <w:r>
        <w:rPr>
          <w:rFonts w:ascii="Arial" w:cs="Arial" w:eastAsia="Arial" w:hAnsi="Arial"/>
          <w:b/>
          <w:bCs/>
          <w:sz w:val="28"/>
          <w:szCs w:val="28"/>
        </w:rPr>
        <w:t xml:space="preserve">5.2 Resistencia de los Retículos</w:t>
      </w:r>
    </w:p>
    <w:p>
      <w:pPr>
        <w:spacing w:after="160"/>
        <w:jc w:val="both"/>
      </w:pPr>
      <w:r>
        <w:rPr>
          <w:rFonts w:ascii="Arial" w:cs="Arial" w:eastAsia="Arial" w:hAnsi="Arial"/>
          <w:sz w:val="24"/>
          <w:szCs w:val="24"/>
        </w:rPr>
        <w:t xml:space="preserve">Los algoritmos basados en retículos, como CRYSTALS-Kyber y Dilithium, no son vulnerables al algoritmo de Shor porque su problema subyacente (LWE) no tiene estructura multiplicativa explotable por dicho algoritmo. El mejor ataque cuántico conocido contra LWE tiene complejidad sub-exponencial pero superpolinomial, lo que los hace seguros en el modelo de amenaza postcuántico con los tamaños de parámetros actuales.</w:t>
      </w:r>
    </w:p>
    <w:p>
      <w:r>
        <w:t xml:space="preserve"/>
      </w:r>
    </w:p>
    <w:p>
      <w:pPr>
        <w:pStyle w:val="Heading1"/>
      </w:pPr>
      <w:r>
        <w:rPr>
          <w:rFonts w:ascii="Arial" w:cs="Arial" w:eastAsia="Arial" w:hAnsi="Arial"/>
          <w:b/>
          <w:bCs/>
          <w:sz w:val="32"/>
          <w:szCs w:val="32"/>
        </w:rPr>
        <w:t xml:space="preserve">6. Conclusiones</w:t>
      </w:r>
    </w:p>
    <w:p>
      <w:pPr>
        <w:spacing w:after="160"/>
        <w:jc w:val="both"/>
      </w:pPr>
      <w:r>
        <w:rPr>
          <w:rFonts w:ascii="Arial" w:cs="Arial" w:eastAsia="Arial" w:hAnsi="Arial"/>
          <w:sz w:val="24"/>
          <w:szCs w:val="24"/>
        </w:rPr>
        <w:t xml:space="preserve">El análisis comparativo revela diferencias fundamentales entre la criptografía clásica y la postcuántica que tienen implicaciones prácticas significativas para el diseño de sistemas seguros:</w:t>
      </w:r>
    </w:p>
    <w:p>
      <w:pPr>
        <w:pStyle w:val="ListParagraph"/>
        <w:numPr>
          <w:ilvl w:val="0"/>
          <w:numId w:val="2"/>
        </w:numPr>
      </w:pPr>
      <w:r>
        <w:rPr>
          <w:rFonts w:ascii="Arial" w:cs="Arial" w:eastAsia="Arial" w:hAnsi="Arial"/>
          <w:sz w:val="24"/>
          <w:szCs w:val="24"/>
        </w:rPr>
        <w:t xml:space="preserve">Los algoritmos clásicos (DH, RSA, ECDSA) ofrecen décadas de confianza, amplia adopción y ecosistemas de implementación maduros, pero su seguridad a largo plazo está comprometida por el avance de la computación cuántica.</w:t>
      </w:r>
    </w:p>
    <w:p>
      <w:pPr>
        <w:pStyle w:val="ListParagraph"/>
        <w:numPr>
          <w:ilvl w:val="0"/>
          <w:numId w:val="2"/>
        </w:numPr>
      </w:pPr>
      <w:r>
        <w:rPr>
          <w:rFonts w:ascii="Arial" w:cs="Arial" w:eastAsia="Arial" w:hAnsi="Arial"/>
          <w:sz w:val="24"/>
          <w:szCs w:val="24"/>
        </w:rPr>
        <w:t xml:space="preserve">La criptografía basada en retículos (CRYSTALS) representa la línea de defensa postcuántica, con el respaldo del proceso de estandarización del NIST, aunque a costa de claves y textos cifrados de mayor tamaño.</w:t>
      </w:r>
    </w:p>
    <w:p>
      <w:pPr>
        <w:pStyle w:val="ListParagraph"/>
        <w:numPr>
          <w:ilvl w:val="0"/>
          <w:numId w:val="2"/>
        </w:numPr>
      </w:pPr>
      <w:r>
        <w:rPr>
          <w:rFonts w:ascii="Arial" w:cs="Arial" w:eastAsia="Arial" w:hAnsi="Arial"/>
          <w:sz w:val="24"/>
          <w:szCs w:val="24"/>
        </w:rPr>
        <w:t xml:space="preserve">La recomendación para sistemas que deban mantener confidencialidad más allá de 2030 es iniciar la migración hacia algoritmos postcuánticos, adoptando un enfoque híbrido (clásico + postcuántico) durante la transición para mantener compatibilidad retroactiva.</w:t>
      </w:r>
    </w:p>
    <w:p>
      <w:pPr>
        <w:pStyle w:val="ListParagraph"/>
        <w:numPr>
          <w:ilvl w:val="0"/>
          <w:numId w:val="2"/>
        </w:numPr>
      </w:pPr>
      <w:r>
        <w:rPr>
          <w:rFonts w:ascii="Arial" w:cs="Arial" w:eastAsia="Arial" w:hAnsi="Arial"/>
          <w:sz w:val="24"/>
          <w:szCs w:val="24"/>
        </w:rPr>
        <w:t xml:space="preserve">El paradigma 'harvest now, decrypt later' (HNDL), donde adversarios almacenan comunicaciones cifradas hoy para descifrarlas cuando dispongan de una CRQC, justifica iniciar esta migración de manera inmediata, especialmente en sectores de defensa, finanzas y salud.</w:t>
      </w:r>
    </w:p>
    <w:p>
      <w:pPr>
        <w:spacing w:after="160"/>
        <w:jc w:val="both"/>
      </w:pPr>
      <w:r>
        <w:rPr>
          <w:rFonts w:ascii="Arial" w:cs="Arial" w:eastAsia="Arial" w:hAnsi="Arial"/>
          <w:sz w:val="24"/>
          <w:szCs w:val="24"/>
        </w:rPr>
        <w:t xml:space="preserve">En conclusión, la criptografía clásica sigue siendo segura y suficiente para el presente inmediato, pero la planificación estratégica de cualquier infraestructura de seguridad debe contemplar la transición postcuántica como una certeza, no como una posibilidad remota.</w:t>
      </w:r>
    </w:p>
    <w:p>
      <w:r>
        <w:t xml:space="preserve"/>
      </w:r>
    </w:p>
    <w:p>
      <w:pPr>
        <w:pStyle w:val="Heading1"/>
      </w:pPr>
      <w:r>
        <w:rPr>
          <w:rFonts w:ascii="Arial" w:cs="Arial" w:eastAsia="Arial" w:hAnsi="Arial"/>
          <w:b/>
          <w:bCs/>
          <w:sz w:val="32"/>
          <w:szCs w:val="32"/>
        </w:rPr>
        <w:t xml:space="preserve">7. Referencias</w:t>
      </w:r>
    </w:p>
    <w:p>
      <w:pPr>
        <w:pStyle w:val="ListParagraph"/>
        <w:numPr>
          <w:ilvl w:val="0"/>
          <w:numId w:val="2"/>
        </w:numPr>
      </w:pPr>
      <w:r>
        <w:rPr>
          <w:rFonts w:ascii="Arial" w:cs="Arial" w:eastAsia="Arial" w:hAnsi="Arial"/>
          <w:sz w:val="24"/>
          <w:szCs w:val="24"/>
        </w:rPr>
        <w:t xml:space="preserve">Shor, P. W. (1994). Algorithms for quantum computation: discrete logarithms and factoring. FOCS.</w:t>
      </w:r>
    </w:p>
    <w:p>
      <w:pPr>
        <w:pStyle w:val="ListParagraph"/>
        <w:numPr>
          <w:ilvl w:val="0"/>
          <w:numId w:val="2"/>
        </w:numPr>
      </w:pPr>
      <w:r>
        <w:rPr>
          <w:rFonts w:ascii="Arial" w:cs="Arial" w:eastAsia="Arial" w:hAnsi="Arial"/>
          <w:sz w:val="24"/>
          <w:szCs w:val="24"/>
        </w:rPr>
        <w:t xml:space="preserve">NIST. (2024). FIPS 203: Module-Lattice-Based Key-Encapsulation Mechanism Standard.</w:t>
      </w:r>
    </w:p>
    <w:p>
      <w:pPr>
        <w:pStyle w:val="ListParagraph"/>
        <w:numPr>
          <w:ilvl w:val="0"/>
          <w:numId w:val="2"/>
        </w:numPr>
      </w:pPr>
      <w:r>
        <w:rPr>
          <w:rFonts w:ascii="Arial" w:cs="Arial" w:eastAsia="Arial" w:hAnsi="Arial"/>
          <w:sz w:val="24"/>
          <w:szCs w:val="24"/>
        </w:rPr>
        <w:t xml:space="preserve">NIST. (2024). FIPS 204: Module-Lattice-Based Digital Signature Standard.</w:t>
      </w:r>
    </w:p>
    <w:p>
      <w:pPr>
        <w:pStyle w:val="ListParagraph"/>
        <w:numPr>
          <w:ilvl w:val="0"/>
          <w:numId w:val="2"/>
        </w:numPr>
      </w:pPr>
      <w:r>
        <w:rPr>
          <w:rFonts w:ascii="Arial" w:cs="Arial" w:eastAsia="Arial" w:hAnsi="Arial"/>
          <w:sz w:val="24"/>
          <w:szCs w:val="24"/>
        </w:rPr>
        <w:t xml:space="preserve">Bernstein, D. J. &amp; Lange, T. (2017). Post-quantum cryptography. Nature, 549, 188–194.</w:t>
      </w:r>
    </w:p>
    <w:p>
      <w:pPr>
        <w:pStyle w:val="ListParagraph"/>
        <w:numPr>
          <w:ilvl w:val="0"/>
          <w:numId w:val="2"/>
        </w:numPr>
      </w:pPr>
      <w:r>
        <w:rPr>
          <w:rFonts w:ascii="Arial" w:cs="Arial" w:eastAsia="Arial" w:hAnsi="Arial"/>
          <w:sz w:val="24"/>
          <w:szCs w:val="24"/>
        </w:rPr>
        <w:t xml:space="preserve">Alagic, G. et al. (2022). Status Report on the Third Round of the NIST PQC Standardization Process. NISTIR 8413.</w:t>
      </w:r>
    </w:p>
    <w:p>
      <w:pPr>
        <w:pStyle w:val="ListParagraph"/>
        <w:numPr>
          <w:ilvl w:val="0"/>
          <w:numId w:val="2"/>
        </w:numPr>
      </w:pPr>
      <w:r>
        <w:rPr>
          <w:rFonts w:ascii="Arial" w:cs="Arial" w:eastAsia="Arial" w:hAnsi="Arial"/>
          <w:sz w:val="24"/>
          <w:szCs w:val="24"/>
        </w:rPr>
        <w:t xml:space="preserve">Bos, J. et al. (2018). CRYSTALS-Kyber: A CCA-Secure Module-Lattice-Based KEM. IEEE EuroS&amp;P.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2026-05-06T00:53:24.554Z</dcterms:created>
  <dcterms:modified xsi:type="dcterms:W3CDTF">2026-05-06T00:53:24.554Z</dcterms:modified>
</cp:coreProperties>
</file>

<file path=docProps/custom.xml><?xml version="1.0" encoding="utf-8"?>
<Properties xmlns="http://schemas.openxmlformats.org/officeDocument/2006/custom-properties" xmlns:vt="http://schemas.openxmlformats.org/officeDocument/2006/docPropsVTypes"/>
</file>