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pStyle w:val="Compact"/>
        <w:numPr>
          <w:numId w:val="1001"/>
          <w:ilvl w:val="0"/>
        </w:numPr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pStyle w:val="Compact"/>
        <w:numPr>
          <w:numId w:val="1001"/>
          <w:ilvl w:val="0"/>
        </w:numPr>
      </w:pPr>
      <w:r>
        <w:t xml:space="preserve">University of Minnesota School of Public Health, Minneapolis, MN, USA</w:t>
      </w:r>
    </w:p>
    <w:p>
      <w:pPr>
        <w:pStyle w:val="Compact"/>
        <w:numPr>
          <w:numId w:val="1001"/>
          <w:ilvl w:val="0"/>
        </w:numPr>
      </w:pPr>
      <w:r>
        <w:t xml:space="preserve">Erasmus MC, Rotterdam, The Netherlands</w:t>
      </w:r>
    </w:p>
    <w:p>
      <w:pPr>
        <w:pStyle w:val="Compact"/>
        <w:numPr>
          <w:numId w:val="1001"/>
          <w:ilvl w:val="0"/>
        </w:numPr>
      </w:pPr>
      <w:r>
        <w:t xml:space="preserve">Harvard T.H. Chan School of Public Health, Boston, USA</w:t>
      </w:r>
    </w:p>
    <w:p>
      <w:pPr>
        <w:pStyle w:val="Compact"/>
        <w:numPr>
          <w:numId w:val="1001"/>
          <w:ilvl w:val="0"/>
        </w:numPr>
      </w:pPr>
      <w:r>
        <w:t xml:space="preserve">University of Pittsburgh Graduate School of Public Health, Pittsburgh, PA, USA</w:t>
      </w:r>
    </w:p>
    <w:p>
      <w:pPr>
        <w:pStyle w:val="Compact"/>
        <w:numPr>
          <w:numId w:val="1001"/>
          <w:ilvl w:val="0"/>
        </w:numPr>
      </w:pPr>
      <w:r>
        <w:t xml:space="preserve">University of Toronto, Toronto ON, Canada</w:t>
      </w:r>
    </w:p>
    <w:p>
      <w:pPr>
        <w:pStyle w:val="Compact"/>
        <w:numPr>
          <w:numId w:val="1001"/>
          <w:ilvl w:val="0"/>
        </w:numPr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numId w:val="1002"/>
          <w:ilvl w:val="0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numId w:val="1002"/>
          <w:ilvl w:val="0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numId w:val="1002"/>
          <w:ilvl w:val="0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p>
      <w:pPr>
        <w:pStyle w:val="Heading1"/>
      </w:pPr>
      <w:bookmarkStart w:id="23" w:name="load-packages"/>
      <w:r>
        <w:t xml:space="preserve">01 Load packages</w:t>
      </w:r>
      <w:bookmarkEnd w:id="23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Keyword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"DARTH-git/dampack"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load-functions"/>
      <w:r>
        <w:t xml:space="preserve">02 Load functions</w:t>
      </w:r>
      <w:bookmarkEnd w:id="24"/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p>
      <w:pPr>
        <w:pStyle w:val="Heading1"/>
      </w:pPr>
      <w:bookmarkStart w:id="25" w:name="define-parameter-input-values"/>
      <w:r>
        <w:t xml:space="preserve">03 Define parameter input values</w:t>
      </w:r>
      <w:bookmarkEnd w:id="25"/>
    </w:p>
    <w:p>
      <w:pPr>
        <w:pStyle w:val="SourceCode"/>
      </w:pPr>
      <w:r>
        <w:rPr>
          <w:rStyle w:val="NormalTok"/>
        </w:rPr>
        <w:t xml:space="preserve">v_names_str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 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(v_names_str)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p>
      <w:pPr>
        <w:pStyle w:val="Heading1"/>
      </w:pPr>
      <w:bookmarkStart w:id="26" w:name="create-and-run-decision-tree-model"/>
      <w:r>
        <w:t xml:space="preserve">04 Create and run decision tree model</w:t>
      </w:r>
      <w:bookmarkEnd w:id="26"/>
    </w:p>
    <w:p>
      <w:pPr>
        <w:pStyle w:val="SourceCode"/>
      </w:pPr>
      <w:r>
        <w:rPr>
          <w:rStyle w:val="NormalTok"/>
        </w:rPr>
        <w:t xml:space="preserve">v_w_no_tx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v_qaly_no_tx      </w:t>
      </w:r>
      <w:r>
        <w:br/>
      </w:r>
      <w:r>
        <w:rPr>
          <w:rStyle w:val="NormalTok"/>
        </w:rPr>
        <w:t xml:space="preserve">total_qaly_tx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v_qaly_tx</w:t>
      </w:r>
      <w:r>
        <w:br/>
      </w:r>
      <w:r>
        <w:rPr>
          <w:rStyle w:val="NormalTok"/>
        </w:rPr>
        <w:t xml:space="preserve">total_qaly_biopsy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v_cost_no_tx    </w:t>
      </w:r>
      <w:r>
        <w:br/>
      </w:r>
      <w:r>
        <w:rPr>
          <w:rStyle w:val="NormalTok"/>
        </w:rPr>
        <w:t xml:space="preserve">total_cost_tx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v_cost_tx</w:t>
      </w:r>
      <w:r>
        <w:br/>
      </w:r>
      <w:r>
        <w:rPr>
          <w:rStyle w:val="NormalTok"/>
        </w:rPr>
        <w:t xml:space="preserve">total_cost_biopsy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v_total_qaly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(v_total_qaly)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(v_total_cost)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(v_nmb)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NMB      =</w:t>
      </w:r>
      <w:r>
        <w:rPr>
          <w:rStyle w:val="NormalTok"/>
        </w:rPr>
        <w:t xml:space="preserve">  v_nmb)</w:t>
      </w:r>
    </w:p>
    <w:p>
      <w:pPr>
        <w:pStyle w:val="Heading2"/>
      </w:pPr>
      <w:bookmarkStart w:id="27" w:name="cost-effectiveness-analysis"/>
      <w:r>
        <w:t xml:space="preserve">05 Cost-Effectiveness Analysis</w:t>
      </w:r>
      <w:bookmarkEnd w:id="27"/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p>
      <w:pPr>
        <w:pStyle w:val="Heading2"/>
      </w:pPr>
      <w:bookmarkStart w:id="28" w:name="plot-frontier-of-decision-tree"/>
      <w:r>
        <w:t xml:space="preserve">05.1 Plot frontier of Decision Tree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DataTyp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2020-12-15T21:05:10Z</dcterms:created>
  <dcterms:modified xsi:type="dcterms:W3CDTF">2020-12-15T21:05:10Z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