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numPr>
          <w:ilvl w:val="0"/>
          <w:numId w:val="1001"/>
        </w:numPr>
        <w:pStyle w:val="Compact"/>
      </w:pPr>
      <w:r>
        <w:t xml:space="preserve">Division of Public Administration, Center for Research and Teaching in</w:t>
      </w:r>
      <w:r>
        <w:t xml:space="preserve"> </w:t>
      </w:r>
      <w:r>
        <w:t xml:space="preserve">Economics (CIDE), Aguascalientes, Mexico</w:t>
      </w:r>
    </w:p>
    <w:p>
      <w:pPr>
        <w:numPr>
          <w:ilvl w:val="0"/>
          <w:numId w:val="1001"/>
        </w:numPr>
        <w:pStyle w:val="Compact"/>
      </w:pPr>
      <w:r>
        <w:t xml:space="preserve">University of Minnesota School of Public Health, Minneapolis, MN, USA</w:t>
      </w:r>
    </w:p>
    <w:p>
      <w:pPr>
        <w:numPr>
          <w:ilvl w:val="0"/>
          <w:numId w:val="1001"/>
        </w:numPr>
        <w:pStyle w:val="Compact"/>
      </w:pPr>
      <w:r>
        <w:t xml:space="preserve">Erasmus MC, Rotterdam, The Netherlands</w:t>
      </w:r>
    </w:p>
    <w:p>
      <w:pPr>
        <w:numPr>
          <w:ilvl w:val="0"/>
          <w:numId w:val="1001"/>
        </w:numPr>
        <w:pStyle w:val="Compact"/>
      </w:pPr>
      <w:r>
        <w:t xml:space="preserve">Harvard T.H. Chan School of Public Health, Boston, USA</w:t>
      </w:r>
    </w:p>
    <w:p>
      <w:pPr>
        <w:numPr>
          <w:ilvl w:val="0"/>
          <w:numId w:val="1001"/>
        </w:numPr>
        <w:pStyle w:val="Compact"/>
      </w:pPr>
      <w:r>
        <w:t xml:space="preserve">University of Pittsburgh Graduate School of Public Health, Pittsburgh, PA, USA</w:t>
      </w:r>
    </w:p>
    <w:p>
      <w:pPr>
        <w:numPr>
          <w:ilvl w:val="0"/>
          <w:numId w:val="1001"/>
        </w:numPr>
        <w:pStyle w:val="Compact"/>
      </w:pPr>
      <w:r>
        <w:t xml:space="preserve">University of Toronto, Toronto ON, Canada</w:t>
      </w:r>
    </w:p>
    <w:p>
      <w:pPr>
        <w:numPr>
          <w:ilvl w:val="0"/>
          <w:numId w:val="1001"/>
        </w:numPr>
        <w:pStyle w:val="Compact"/>
      </w:pPr>
      <w:r>
        <w:t xml:space="preserve">The Hospital for Sick Children, Toronto ON, Canada</w:t>
      </w:r>
    </w:p>
    <w:p>
      <w:pPr>
        <w:pStyle w:val="FirstParagraph"/>
      </w:pPr>
      <w:r>
        <w:t xml:space="preserve">Please cite our publications when using this code:</w:t>
      </w:r>
    </w:p>
    <w:p>
      <w:pPr>
        <w:numPr>
          <w:ilvl w:val="0"/>
          <w:numId w:val="1002"/>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ilvl w:val="0"/>
          <w:numId w:val="1002"/>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ilvl w:val="0"/>
          <w:numId w:val="1002"/>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ilvl w:val="0"/>
          <w:numId w:val="1002"/>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 2020;40(2):242-248.</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bookmarkStart w:id="26" w:name="X1ebb5234d27bbadc104d52bc0c9125a4ee81f60"/>
    <w:p>
      <w:pPr>
        <w:pStyle w:val="Heading1"/>
      </w:pPr>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C:/Users/Alan%20Yang/Desktop/GitHub%20local/Course-Modularization/static/Course_Modularization/Markov%20models/Markov%20Sick-Sicker/figures/sick_sicker_diagram.png" id="0" name="Picture"/>
                    <pic:cNvPicPr>
                      <a:picLocks noChangeArrowheads="1" noChangeAspect="1"/>
                    </pic:cNvPicPr>
                  </pic:nvPicPr>
                  <pic:blipFill>
                    <a:blip r:embed="rId24"/>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bookmarkStart w:id="25" w:name="tasks"/>
    <w:p>
      <w:pPr>
        <w:pStyle w:val="Heading2"/>
      </w:pPr>
      <w:r>
        <w:t xml:space="preserve">Tasks</w:t>
      </w:r>
    </w:p>
    <w:p>
      <w:pPr>
        <w:numPr>
          <w:ilvl w:val="0"/>
          <w:numId w:val="1003"/>
        </w:numPr>
      </w:pPr>
      <w:r>
        <w:t xml:space="preserve">Build the Markov model in</w:t>
      </w:r>
      <w:r>
        <w:t xml:space="preserve"> </w:t>
      </w:r>
      <w:r>
        <w:rPr>
          <w:rStyle w:val="VerbatimChar"/>
        </w:rPr>
        <w:t xml:space="preserve">R</w:t>
      </w:r>
      <w:r>
        <w:t xml:space="preserve"> </w:t>
      </w:r>
      <w:r>
        <w:t xml:space="preserve">for no treatment and treatment strategies.</w:t>
      </w:r>
    </w:p>
    <w:p>
      <w:pPr>
        <w:numPr>
          <w:ilvl w:val="0"/>
          <w:numId w:val="1003"/>
        </w:numPr>
      </w:pPr>
      <w:r>
        <w:t xml:space="preserve">Plot the survival curve for the cohort under no treatment.</w:t>
      </w:r>
    </w:p>
    <w:p>
      <w:pPr>
        <w:numPr>
          <w:ilvl w:val="0"/>
          <w:numId w:val="1003"/>
        </w:numPr>
      </w:pPr>
      <w:r>
        <w:t xml:space="preserve">Estimate the cost-effectiveness of treatment vs no-treatment.</w:t>
      </w:r>
    </w:p>
    <w:p>
      <w:pPr>
        <w:numPr>
          <w:ilvl w:val="0"/>
          <w:numId w:val="1003"/>
        </w:numPr>
      </w:pPr>
      <w:r>
        <w:t xml:space="preserve">Create a cost-effectiveness table with all results of interest.</w:t>
      </w:r>
    </w:p>
    <w:p>
      <w:pPr>
        <w:pStyle w:val="FirstParagraph"/>
      </w:pPr>
      <w:r>
        <w:rPr>
          <w:bCs/>
          <w:b/>
        </w:rPr>
        <w:t xml:space="preserve">Table I: Input parameters</w:t>
      </w:r>
    </w:p>
    <w:tbl>
      <w:tblPr>
        <w:tblStyle w:val="Table"/>
        <w:tblW w:type="pct" w:w="5000.0"/>
        <w:tblLook w:firstRow="1" w:lastRow="0" w:firstColumn="0" w:lastColumn="0" w:noHBand="0" w:noVBand="0" w:val="0020"/>
      </w:tblPr>
      <w:tblGrid>
        <w:gridCol w:w="4455"/>
        <w:gridCol w:w="1608"/>
        <w:gridCol w:w="1856"/>
      </w:tblGrid>
      <w:tr>
        <w:tc>
          <w:p>
            <w:pPr>
              <w:pStyle w:val="Compact"/>
              <w:jc w:val="left"/>
            </w:pPr>
            <w:r>
              <w:rPr>
                <w:bCs/>
                <w:b/>
              </w:rPr>
              <w:t xml:space="preserve">Parameter</w:t>
            </w:r>
          </w:p>
        </w:tc>
        <w:tc>
          <w:p>
            <w:pPr>
              <w:pStyle w:val="Compact"/>
              <w:jc w:val="left"/>
            </w:pPr>
            <w:r>
              <w:rPr>
                <w:bCs/>
                <w:b/>
              </w:rPr>
              <w:t xml:space="preserve">R name</w:t>
            </w:r>
          </w:p>
        </w:tc>
        <w:tc>
          <w:p>
            <w:pPr>
              <w:pStyle w:val="Compact"/>
              <w:jc w:val="center"/>
            </w:pPr>
            <w:r>
              <w:rPr>
                <w:bCs/>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rPr>
            <m:sty m:val="p"/>
          </m:rPr>
          <m:t>=</m:t>
        </m:r>
        <m:r>
          <m:rPr>
            <m:sty m:val="p"/>
          </m:rPr>
          <m:t>−</m:t>
        </m:r>
        <m:r>
          <m:t>l</m:t>
        </m:r>
        <m:r>
          <m:t>o</m:t>
        </m:r>
        <m:r>
          <m:t>g</m:t>
        </m:r>
        <m:r>
          <m:t>a</m:t>
        </m:r>
        <m:r>
          <m:rPr>
            <m:sty m:val="p"/>
          </m:rPr>
          <m:t>(</m:t>
        </m:r>
        <m:r>
          <m:t>1</m:t>
        </m:r>
        <m:r>
          <m:rPr>
            <m:sty m:val="p"/>
          </m:rPr>
          <m:t>−</m:t>
        </m:r>
        <m:r>
          <m:t>p</m:t>
        </m:r>
        <m:r>
          <m:rPr>
            <m:sty m:val="p"/>
          </m:rPr>
          <m:t>)</m:t>
        </m:r>
      </m:oMath>
      <w:r>
        <w:t xml:space="preserve"> </w:t>
      </w:r>
      <w:r>
        <w:t xml:space="preserve">and</w:t>
      </w:r>
      <w:r>
        <w:t xml:space="preserve"> </w:t>
      </w:r>
      <m:oMath>
        <m:r>
          <m:t>p</m:t>
        </m:r>
        <m:r>
          <m:rPr>
            <m:sty m:val="p"/>
          </m:rPr>
          <m:t>=</m:t>
        </m:r>
        <m:r>
          <m:t>1</m:t>
        </m:r>
        <m:r>
          <m:rPr>
            <m:sty m:val="p"/>
          </m:rPr>
          <m:t>−</m:t>
        </m:r>
        <m:sSup>
          <m:e>
            <m:r>
              <m:t>e</m:t>
            </m:r>
          </m:e>
          <m:sup>
            <m:r>
              <m:rPr>
                <m:sty m:val="p"/>
              </m:rPr>
              <m:t>(</m:t>
            </m:r>
            <m:r>
              <m:rPr>
                <m:sty m:val="p"/>
              </m:rPr>
              <m:t>−</m:t>
            </m:r>
            <m:r>
              <m:t>r</m:t>
            </m:r>
            <m:r>
              <m:t>t</m:t>
            </m:r>
            <m:r>
              <m:rPr>
                <m:sty m:val="p"/>
              </m:rPr>
              <m:t>)</m:t>
            </m:r>
          </m:sup>
        </m:sSup>
      </m:oMath>
    </w:p>
    <w:bookmarkEnd w:id="25"/>
    <w:bookmarkEnd w:id="26"/>
    <w:bookmarkStart w:id="28" w:name="X56a6ad6964c846f3bd6130df67a6208c26393a6"/>
    <w:p>
      <w:pPr>
        <w:pStyle w:val="Heading1"/>
      </w:pPr>
      <w:r>
        <w:t xml:space="preserve">Exercise II: Probabilistic sensitivity analysis of the Sick-Sicker Markov model</w:t>
      </w:r>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Cs/>
          <w:b/>
        </w:rPr>
        <w:t xml:space="preserve">Table II: Input parameters for probabilistic analysis</w:t>
      </w:r>
    </w:p>
    <w:tbl>
      <w:tblPr>
        <w:tblStyle w:val="Table"/>
        <w:tblW w:type="pct" w:w="5000.0"/>
        <w:tblLook w:firstRow="1" w:lastRow="0" w:firstColumn="0" w:lastColumn="0" w:noHBand="0" w:noVBand="0" w:val="0020"/>
      </w:tblPr>
      <w:tblGrid>
        <w:gridCol w:w="2795"/>
        <w:gridCol w:w="1475"/>
        <w:gridCol w:w="3649"/>
      </w:tblGrid>
      <w:tr>
        <w:tc>
          <w:p>
            <w:pPr>
              <w:pStyle w:val="Compact"/>
              <w:jc w:val="left"/>
            </w:pPr>
            <w:r>
              <w:rPr>
                <w:bCs/>
                <w:b/>
              </w:rPr>
              <w:t xml:space="preserve">Parameter</w:t>
            </w:r>
          </w:p>
        </w:tc>
        <w:tc>
          <w:p>
            <w:pPr>
              <w:pStyle w:val="Compact"/>
              <w:jc w:val="right"/>
            </w:pPr>
            <w:r>
              <w:rPr>
                <w:bCs/>
                <w:b/>
              </w:rPr>
              <w:t xml:space="preserve">Distribution</w:t>
            </w:r>
          </w:p>
        </w:tc>
        <w:tc>
          <w:p>
            <w:pPr>
              <w:pStyle w:val="Compact"/>
              <w:jc w:val="right"/>
            </w:pPr>
            <w:r>
              <w:rPr>
                <w:bCs/>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rPr>
                  <m:sty m:val="p"/>
                </m:rPr>
                <m:t>=</m:t>
              </m:r>
              <m:r>
                <m:t>30</m:t>
              </m:r>
              <m:r>
                <m:rPr>
                  <m:sty m:val="p"/>
                </m:rPr>
                <m:t>,</m:t>
              </m:r>
              <m:r>
                <m:t> </m:t>
              </m:r>
              <m:r>
                <m:t>β</m:t>
              </m:r>
              <m:r>
                <m:rPr>
                  <m:sty m:val="p"/>
                </m:rP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rPr>
                  <m:sty m:val="p"/>
                </m:rPr>
                <m:t>=</m:t>
              </m:r>
              <m:r>
                <m:t>60</m:t>
              </m:r>
              <m:r>
                <m:rPr>
                  <m:sty m:val="p"/>
                </m:rPr>
                <m:t>,</m:t>
              </m:r>
              <m:r>
                <m:t> </m:t>
              </m:r>
              <m:r>
                <m:t>β</m:t>
              </m:r>
              <m:r>
                <m:rPr>
                  <m:sty m:val="p"/>
                </m:rP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rPr>
                  <m:sty m:val="p"/>
                </m:rPr>
                <m:t>=</m:t>
              </m:r>
              <m:r>
                <m:t>84</m:t>
              </m:r>
              <m:r>
                <m:rPr>
                  <m:sty m:val="p"/>
                </m:rPr>
                <m:t>,</m:t>
              </m:r>
              <m:r>
                <m:t> </m:t>
              </m:r>
              <m:r>
                <m:t>β</m:t>
              </m:r>
              <m:r>
                <m:rPr>
                  <m:sty m:val="p"/>
                </m:rPr>
                <m:t>=</m:t>
              </m:r>
              <m:r>
                <m:t>716</m:t>
              </m:r>
            </m:oMath>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rPr>
                  <m:sty m:val="p"/>
                </m:rPr>
                <m:t>=</m:t>
              </m:r>
              <m:r>
                <m:t>10</m:t>
              </m:r>
              <m:r>
                <m:rPr>
                  <m:sty m:val="p"/>
                </m:rPr>
                <m:t>,</m:t>
              </m:r>
              <m:r>
                <m:t> </m:t>
              </m:r>
              <m:r>
                <m:t>β</m:t>
              </m:r>
              <m:r>
                <m:rPr>
                  <m:sty m:val="p"/>
                </m:rP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rPr>
                  <m:sty m:val="p"/>
                </m:rPr>
                <m:t>=</m:t>
              </m:r>
              <m:r>
                <m:t>l</m:t>
              </m:r>
              <m:r>
                <m:t>o</m:t>
              </m:r>
              <m:r>
                <m:t>g</m:t>
              </m:r>
              <m:r>
                <m:rPr>
                  <m:sty m:val="p"/>
                </m:rPr>
                <m:t>(</m:t>
              </m:r>
              <m:r>
                <m:t>3</m:t>
              </m:r>
              <m:r>
                <m:rPr>
                  <m:sty m:val="p"/>
                </m:rPr>
                <m:t>)</m:t>
              </m:r>
              <m:r>
                <m:rPr>
                  <m:sty m:val="p"/>
                </m:rPr>
                <m:t>,</m:t>
              </m:r>
              <m:r>
                <m:t> </m:t>
              </m:r>
              <m:r>
                <m:t>σ</m:t>
              </m:r>
              <m:r>
                <m:rPr>
                  <m:sty m:val="p"/>
                </m:rP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rPr>
                  <m:sty m:val="p"/>
                </m:rPr>
                <m:t>=</m:t>
              </m:r>
              <m:r>
                <m:t>l</m:t>
              </m:r>
              <m:r>
                <m:t>o</m:t>
              </m:r>
              <m:r>
                <m:t>g</m:t>
              </m:r>
              <m:r>
                <m:rPr>
                  <m:sty m:val="p"/>
                </m:rPr>
                <m:t>(</m:t>
              </m:r>
              <m:r>
                <m:t>10</m:t>
              </m:r>
              <m:r>
                <m:rPr>
                  <m:sty m:val="p"/>
                </m:rPr>
                <m:t>)</m:t>
              </m:r>
              <m:r>
                <m:rPr>
                  <m:sty m:val="p"/>
                </m:rPr>
                <m:t>,</m:t>
              </m:r>
              <m:r>
                <m:t> </m:t>
              </m:r>
              <m:r>
                <m:t>σ</m:t>
              </m:r>
              <m:r>
                <m:rPr>
                  <m:sty m:val="p"/>
                </m:rPr>
                <m:t>=</m:t>
              </m:r>
              <m:r>
                <m:t>0.02</m:t>
              </m:r>
            </m:oMath>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rPr>
                  <m:sty m:val="p"/>
                </m:rPr>
                <m:t>=</m:t>
              </m:r>
              <m:r>
                <m:t>200</m:t>
              </m:r>
              <m:r>
                <m:rPr>
                  <m:sty m:val="p"/>
                </m:rPr>
                <m:t>,</m:t>
              </m:r>
              <m:r>
                <m:t> </m:t>
              </m:r>
              <m:r>
                <m:t>β</m:t>
              </m:r>
              <m:r>
                <m:rPr>
                  <m:sty m:val="p"/>
                </m:rP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rPr>
                  <m:sty m:val="p"/>
                </m:rPr>
                <m:t>=</m:t>
              </m:r>
              <m:r>
                <m:t>130</m:t>
              </m:r>
              <m:r>
                <m:rPr>
                  <m:sty m:val="p"/>
                </m:rPr>
                <m:t>,</m:t>
              </m:r>
              <m:r>
                <m:t> </m:t>
              </m:r>
              <m:r>
                <m:t>β</m:t>
              </m:r>
              <m:r>
                <m:rPr>
                  <m:sty m:val="p"/>
                </m:rP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rPr>
                  <m:sty m:val="p"/>
                </m:rPr>
                <m:t>=</m:t>
              </m:r>
              <m:r>
                <m:t>230</m:t>
              </m:r>
              <m:r>
                <m:rPr>
                  <m:sty m:val="p"/>
                </m:rPr>
                <m:t>,</m:t>
              </m:r>
              <m:r>
                <m:t> </m:t>
              </m:r>
              <m:r>
                <m:t>β</m:t>
              </m:r>
              <m:r>
                <m:rPr>
                  <m:sty m:val="p"/>
                </m:rPr>
                <m:t>=</m:t>
              </m:r>
              <m:r>
                <m:t>230</m:t>
              </m:r>
            </m:oMath>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rPr>
                  <m:sty m:val="p"/>
                </m:rPr>
                <m:t>=</m:t>
              </m:r>
              <m:r>
                <m:t>300</m:t>
              </m:r>
              <m:r>
                <m:rPr>
                  <m:sty m:val="p"/>
                </m:rPr>
                <m:t>,</m:t>
              </m:r>
              <m:r>
                <m:t> </m:t>
              </m:r>
              <m:r>
                <m:t>β</m:t>
              </m:r>
              <m:r>
                <m:rPr>
                  <m:sty m:val="p"/>
                </m:rPr>
                <m:t>=</m:t>
              </m:r>
              <m:r>
                <m:t>15</m:t>
              </m:r>
            </m:oMath>
          </w:p>
        </w:tc>
      </w:tr>
    </w:tbl>
    <w:bookmarkStart w:id="27" w:name="tasks-1"/>
    <w:p>
      <w:pPr>
        <w:pStyle w:val="Heading2"/>
      </w:pPr>
      <w:r>
        <w:t xml:space="preserve">Tasks</w:t>
      </w:r>
    </w:p>
    <w:p>
      <w:pPr>
        <w:numPr>
          <w:ilvl w:val="0"/>
          <w:numId w:val="1004"/>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w:t>
      </w:r>
      <w:r>
        <w:t xml:space="preserve"> </w:t>
      </w:r>
      <w:r>
        <w:t xml:space="preserve">“</w:t>
      </w:r>
      <w:r>
        <w:t xml:space="preserve">Functions_markov_sick-sicker.R</w:t>
      </w:r>
      <w:r>
        <w:t xml:space="preserve">”</w:t>
      </w:r>
      <w:r>
        <w:t xml:space="preserve">.</w:t>
      </w:r>
    </w:p>
    <w:p>
      <w:pPr>
        <w:numPr>
          <w:ilvl w:val="0"/>
          <w:numId w:val="1004"/>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ilvl w:val="0"/>
          <w:numId w:val="1004"/>
        </w:numPr>
      </w:pPr>
      <w:r>
        <w:t xml:space="preserve">Open the file</w:t>
      </w:r>
      <w:r>
        <w:t xml:space="preserve"> </w:t>
      </w:r>
      <w:r>
        <w:t xml:space="preserve">“</w:t>
      </w:r>
      <w:r>
        <w:t xml:space="preserve">markov_sick-sicker_SA_template.R</w:t>
      </w:r>
      <w:r>
        <w:t xml:space="preserve">”</w:t>
      </w:r>
      <w:r>
        <w:t xml:space="preserve"> </w:t>
      </w:r>
      <w:r>
        <w:t xml:space="preserve">and conduct a probabilistic Cost-Effectiveness analysis of treatment vs no-treatment.</w:t>
      </w:r>
    </w:p>
    <w:p>
      <w:pPr>
        <w:numPr>
          <w:ilvl w:val="0"/>
          <w:numId w:val="1004"/>
        </w:numPr>
      </w:pPr>
      <w:r>
        <w:t xml:space="preserve">Create histograms of model inputs.</w:t>
      </w:r>
    </w:p>
    <w:p>
      <w:pPr>
        <w:numPr>
          <w:ilvl w:val="0"/>
          <w:numId w:val="1004"/>
        </w:numPr>
      </w:pPr>
      <w:r>
        <w:t xml:space="preserve">Create a cost-effectiveness plane to present discounted costs and QALYs.</w:t>
      </w:r>
    </w:p>
    <w:p>
      <w:pPr>
        <w:numPr>
          <w:ilvl w:val="0"/>
          <w:numId w:val="1004"/>
        </w:numPr>
      </w:pPr>
      <w:r>
        <w:t xml:space="preserve">Create the cost-effectiveness acceptability curves (CEAC) and frontier (CEAF) for the treatment comparison assuming WTP thresholds of</w:t>
      </w:r>
      <w:r>
        <w:t xml:space="preserve"> </w:t>
      </w:r>
      <m:oMath>
        <m:r>
          <m:rPr>
            <m:sty m:val="p"/>
          </m:rPr>
          <m:t>$</m:t>
        </m:r>
        <m:r>
          <m:t>0</m:t>
        </m:r>
      </m:oMath>
      <w:r>
        <w:t xml:space="preserve"> </w:t>
      </w:r>
      <w:r>
        <w:t xml:space="preserve">to</w:t>
      </w:r>
      <w:r>
        <w:t xml:space="preserve"> </w:t>
      </w:r>
      <m:oMath>
        <m:r>
          <m:rPr>
            <m:sty m:val="p"/>
          </m:rPr>
          <m:t>$</m:t>
        </m:r>
        <m:r>
          <m:t>200</m:t>
        </m:r>
        <m:r>
          <m:rPr>
            <m:sty m:val="p"/>
          </m:rPr>
          <m:t>,</m:t>
        </m:r>
        <m:r>
          <m:t>000</m:t>
        </m:r>
      </m:oMath>
      <w:r>
        <w:t xml:space="preserve">.</w:t>
      </w:r>
    </w:p>
    <w:p>
      <w:pPr>
        <w:numPr>
          <w:ilvl w:val="0"/>
          <w:numId w:val="1004"/>
        </w:numPr>
      </w:pPr>
      <w:r>
        <w:t xml:space="preserve">Create the expected loss curves (ELCs) plot</w:t>
      </w:r>
    </w:p>
    <w:p>
      <w:pPr>
        <w:numPr>
          <w:ilvl w:val="0"/>
          <w:numId w:val="1004"/>
        </w:numPr>
      </w:pPr>
      <w:r>
        <w:t xml:space="preserve">Create an expected value of perfect information (EVPI) plot.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2021-04-05T22:39:07Z</dcterms:created>
  <dcterms:modified xsi:type="dcterms:W3CDTF">2021-04-05T22:39:07Z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PSA Markov Model Exercise</vt:lpwstr>
  </property>
</Properties>
</file>