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Sick-Sicker</w:t>
      </w:r>
      <w:r>
        <w:t xml:space="preserve"> </w:t>
      </w:r>
      <w:r>
        <w:t xml:space="preserve">case</w:t>
      </w:r>
      <w:r>
        <w:t xml:space="preserve"> </w:t>
      </w:r>
      <w:r>
        <w:t xml:space="preserve">study</w:t>
      </w:r>
    </w:p>
    <w:p>
      <w:pPr>
        <w:pStyle w:val="Author"/>
      </w:pPr>
      <w:r>
        <w:t xml:space="preserve">DARTH</w:t>
      </w:r>
      <w:r>
        <w:t xml:space="preserve"> </w:t>
      </w:r>
      <w:r>
        <w:t xml:space="preserve">workgroup</w:t>
      </w:r>
    </w:p>
    <w:p>
      <w:pPr>
        <w:pStyle w:val="Date"/>
      </w:pPr>
      <w:r>
        <w:t xml:space="preserve">2019-02-11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In this document we showcase the framework via a fully functional decision model. In this case-study we perform a cost-effectiveness analysis (CEA) using a previously published 4-state model called the Sick-Sicker model.</w:t>
      </w:r>
      <w:r>
        <w:t xml:space="preserve">(E. A. Enns et al. 2015)</w:t>
      </w:r>
      <w:r>
        <w:t xml:space="preserve"> </w:t>
      </w:r>
      <w:r>
        <w:t xml:space="preserve">The model is used to quantify the expected costs and quality-adjusted life years (QALYs) for individuals with a hypothetical disease with two different stages,</w:t>
      </w:r>
      <w:r>
        <w:t xml:space="preserve"> </w:t>
      </w:r>
      <w:r>
        <w:t xml:space="preserve">“</w:t>
      </w:r>
      <w:r>
        <w:t xml:space="preserve">Sick</w:t>
      </w:r>
      <w:r>
        <w:t xml:space="preserve">”</w:t>
      </w:r>
      <w:r>
        <w:t xml:space="preserve"> </w:t>
      </w:r>
      <w:r>
        <w:t xml:space="preserve">and</w:t>
      </w:r>
      <w:r>
        <w:t xml:space="preserve"> </w:t>
      </w:r>
      <w:r>
        <w:t xml:space="preserve">“</w:t>
      </w:r>
      <w:r>
        <w:t xml:space="preserve">Sicker</w:t>
      </w:r>
      <w:r>
        <w:t xml:space="preserve">”</w:t>
      </w:r>
      <w:r>
        <w:t xml:space="preserve">. We calibrate the model using three targets, survival, prevalence and the proportion who are</w:t>
      </w:r>
      <w:r>
        <w:t xml:space="preserve"> </w:t>
      </w:r>
      <w:r>
        <w:t xml:space="preserve">“</w:t>
      </w:r>
      <w:r>
        <w:t xml:space="preserve">Sick</w:t>
      </w:r>
      <w:r>
        <w:t xml:space="preserve">”</w:t>
      </w:r>
      <w:r>
        <w:t xml:space="preserve"> </w:t>
      </w:r>
      <w:r>
        <w:t xml:space="preserve">among all those afflicted</w:t>
      </w:r>
      <w:r>
        <w:t xml:space="preserve"> </w:t>
      </w:r>
      <w:r>
        <w:t xml:space="preserve">“</w:t>
      </w:r>
      <w:r>
        <w:t xml:space="preserve">Sick + Sicker</w:t>
      </w:r>
      <w:r>
        <w:t xml:space="preserve">”</w:t>
      </w:r>
      <w:r>
        <w:t xml:space="preserve">. We then evaluate the cost-effectiveness of a hypothetical treatment that increases quality of life (QoL) in one of the disease states.</w:t>
      </w:r>
      <w:r>
        <w:t xml:space="preserve">(Krijkamp et al. 2018)</w:t>
      </w:r>
      <w:r>
        <w:t xml:space="preserve"> </w:t>
      </w:r>
      <w:r>
        <w:t xml:space="preserve">We identify the uncertainity around our decision based on the CEA using sensitivity analysis. Finaly, we perform a value of information (VoI) analysis to see if it is worth investing in extra research projects with the aim to eliminate the uncertainty around our decision.</w:t>
      </w:r>
    </w:p>
    <w:p>
      <w:pPr>
        <w:pStyle w:val="Heading2"/>
      </w:pPr>
      <w:bookmarkStart w:id="21" w:name="the-sick-sicker-model"/>
      <w:bookmarkEnd w:id="21"/>
      <w:r>
        <w:t xml:space="preserve">The Sick-Sicker model</w:t>
      </w:r>
    </w:p>
    <w:p>
      <w:pPr>
        <w:pStyle w:val="FirstParagraph"/>
      </w:pPr>
      <w:r>
        <w:t xml:space="preserve">In the Sick-Sicker model, we simulate a hypothetical cohort of 25-year-old individuals over a lifetime (or reaching age 100 years old) using 75 anual cycles, represented with</w:t>
      </w:r>
      <w:r>
        <w:t xml:space="preserve"> </w:t>
      </w:r>
      <w:r>
        <w:rPr>
          <w:rStyle w:val="VerbatimChar"/>
        </w:rPr>
        <w:t xml:space="preserve">n.t</w:t>
      </w:r>
      <w:r>
        <w:t xml:space="preserve">. The cohort start in the</w:t>
      </w:r>
      <w:r>
        <w:t xml:space="preserve"> </w:t>
      </w:r>
      <w:r>
        <w:t xml:space="preserve">“</w:t>
      </w:r>
      <w:r>
        <w:t xml:space="preserve">Healthy</w:t>
      </w:r>
      <w:r>
        <w:t xml:space="preserve">”</w:t>
      </w:r>
      <w:r>
        <w:t xml:space="preserve"> </w:t>
      </w:r>
      <w:r>
        <w:t xml:space="preserve">health state (denoted</w:t>
      </w:r>
      <w:r>
        <w:t xml:space="preserve"> </w:t>
      </w:r>
      <w:r>
        <w:t xml:space="preserve">“</w:t>
      </w:r>
      <w:r>
        <w:t xml:space="preserve">H</w:t>
      </w:r>
      <w:r>
        <w:t xml:space="preserve">”</w:t>
      </w:r>
      <w:r>
        <w:t xml:space="preserve">). Healthy individuals are at risk of developing the illness, at which point they would transition to the first stage of the disease (the</w:t>
      </w:r>
      <w:r>
        <w:t xml:space="preserve"> </w:t>
      </w:r>
      <w:r>
        <w:t xml:space="preserve">“</w:t>
      </w:r>
      <w:r>
        <w:t xml:space="preserve">Sick</w:t>
      </w:r>
      <w:r>
        <w:t xml:space="preserve">”</w:t>
      </w:r>
      <w:r>
        <w:t xml:space="preserve"> </w:t>
      </w:r>
      <w:r>
        <w:t xml:space="preserve">health state, denoted</w:t>
      </w:r>
      <w:r>
        <w:t xml:space="preserve"> </w:t>
      </w:r>
      <w:r>
        <w:t xml:space="preserve">“</w:t>
      </w:r>
      <w:r>
        <w:t xml:space="preserve">S1</w:t>
      </w:r>
      <w:r>
        <w:t xml:space="preserve">”</w:t>
      </w:r>
      <w:r>
        <w:t xml:space="preserve">). Individuals that become sick incur a one-time utility decrement of 0.01 (</w:t>
      </w:r>
      <w:r>
        <w:rPr>
          <w:rStyle w:val="VerbatimChar"/>
        </w:rPr>
        <w:t xml:space="preserve">du.HS1</w:t>
      </w:r>
      <w:r>
        <w:t xml:space="preserve">, disutility of transitioning from H to S1) and a one-time cost of $1000 (</w:t>
      </w:r>
      <w:r>
        <w:rPr>
          <w:rStyle w:val="VerbatimChar"/>
        </w:rPr>
        <w:t xml:space="preserve">ic.HS1</w:t>
      </w:r>
      <w:r>
        <w:t xml:space="preserve">) that reflect the acute impacts of developing the illness. Sick individuals are at risk of further progressing to a more severe stage (the</w:t>
      </w:r>
      <w:r>
        <w:t xml:space="preserve"> </w:t>
      </w:r>
      <w:r>
        <w:t xml:space="preserve">“</w:t>
      </w:r>
      <w:r>
        <w:t xml:space="preserve">Sicker</w:t>
      </w:r>
      <w:r>
        <w:t xml:space="preserve">”</w:t>
      </w:r>
      <w:r>
        <w:t xml:space="preserve"> </w:t>
      </w:r>
      <w:r>
        <w:t xml:space="preserve">health state, denoted</w:t>
      </w:r>
      <w:r>
        <w:t xml:space="preserve"> </w:t>
      </w:r>
      <w:r>
        <w:t xml:space="preserve">“</w:t>
      </w:r>
      <w:r>
        <w:t xml:space="preserve">S2</w:t>
      </w:r>
      <w:r>
        <w:t xml:space="preserve">”</w:t>
      </w:r>
      <w:r>
        <w:t xml:space="preserve">), which is constant in this case example. There is a chance that individuals in the Sick state eventually recover and return back to the Healthy state. However, once an individual reaches the Sicker health state, they cannot recover; that is, the probability of transitioning to the Sick or Healthy health states from the Sicker health state is zero. Individuals in the Healthy state face background mortality that is age-specific (i.e., time-dependent). Sick and Sicker individuals face an increased mortality in the form of a hazard rate ratio (HR) of 3 and 10 times, respectively, on the background mortality rate. Sick and Sicker individuals also experience increased health care costs and reduced QoL compared to healthy individuals. Once simulated individuals die, they transition to the</w:t>
      </w:r>
      <w:r>
        <w:t xml:space="preserve"> </w:t>
      </w:r>
      <w:r>
        <w:t xml:space="preserve">“</w:t>
      </w:r>
      <w:r>
        <w:t xml:space="preserve">Dead</w:t>
      </w:r>
      <w:r>
        <w:t xml:space="preserve">”</w:t>
      </w:r>
      <w:r>
        <w:t xml:space="preserve"> </w:t>
      </w:r>
      <w:r>
        <w:t xml:space="preserve">health state (denoted</w:t>
      </w:r>
      <w:r>
        <w:t xml:space="preserve"> </w:t>
      </w:r>
      <w:r>
        <w:t xml:space="preserve">“</w:t>
      </w:r>
      <w:r>
        <w:t xml:space="preserve">D</w:t>
      </w:r>
      <w:r>
        <w:t xml:space="preserve">”</w:t>
      </w:r>
      <w:r>
        <w:t xml:space="preserve">), where they remain. When an individual dies, they incur a one-time cost of $200 (</w:t>
      </w:r>
      <w:r>
        <w:rPr>
          <w:rStyle w:val="VerbatimChar"/>
        </w:rPr>
        <w:t xml:space="preserve">ic.D</w:t>
      </w:r>
      <w:r>
        <w:t xml:space="preserve">) that reflects the acute care that might be received immediately preceding death. The state-transition diagram of the Sick-Sicker model is shown in Figure</w:t>
      </w:r>
      <w:r>
        <w:t xml:space="preserve"> </w:t>
      </w:r>
      <w:r>
        <w:t xml:space="preserve">. The evolution of the cohort is simulated in one-year discrete-time cycles. Both costs and QALYs are discounted at an annual rate of 0.03%.</w:t>
      </w:r>
    </w:p>
    <w:p>
      <w:pPr>
        <w:pStyle w:val="FigureWithCaption"/>
      </w:pPr>
      <w:r>
        <w:drawing>
          <wp:inline>
            <wp:extent cx="4224528" cy="2919984"/>
            <wp:effectExtent b="0" l="0" r="0" t="0"/>
            <wp:docPr descr="Sick-Sicker " title="" id="1" name="Picture"/>
            <a:graphic>
              <a:graphicData uri="http://schemas.openxmlformats.org/drawingml/2006/picture">
                <pic:pic>
                  <pic:nvPicPr>
                    <pic:cNvPr descr="../figs/Sick-Sicker%20figure.png" id="0" name="Picture"/>
                    <pic:cNvPicPr>
                      <a:picLocks noChangeArrowheads="1" noChangeAspect="1"/>
                    </pic:cNvPicPr>
                  </pic:nvPicPr>
                  <pic:blipFill>
                    <a:blip r:embed="rId22"/>
                    <a:stretch>
                      <a:fillRect/>
                    </a:stretch>
                  </pic:blipFill>
                  <pic:spPr bwMode="auto">
                    <a:xfrm>
                      <a:off x="0" y="0"/>
                      <a:ext cx="4224528" cy="2919984"/>
                    </a:xfrm>
                    <a:prstGeom prst="rect">
                      <a:avLst/>
                    </a:prstGeom>
                    <a:noFill/>
                    <a:ln w="9525">
                      <a:noFill/>
                      <a:headEnd/>
                      <a:tailEnd/>
                    </a:ln>
                  </pic:spPr>
                </pic:pic>
              </a:graphicData>
            </a:graphic>
          </wp:inline>
        </w:drawing>
      </w:r>
    </w:p>
    <w:p>
      <w:pPr>
        <w:pStyle w:val="ImageCaption"/>
      </w:pPr>
      <w:r>
        <w:t xml:space="preserve">Sick-Sicker</w:t>
      </w:r>
      <w:r>
        <w:t xml:space="preserve"> </w:t>
      </w:r>
    </w:p>
    <w:p>
      <w:pPr>
        <w:pStyle w:val="BodyText"/>
      </w:pPr>
      <w:r>
        <w:t xml:space="preserve">A hypothetical disease affects individuals with an average age of 25 years and results in increased mortality, increased treatment costs and reduced quality of life. The disease has two levels; affected individuals initially become sick but can subsequently progress and become sicker. Two alternative strategies exist for this hypothetical disease: a no-treatment and a treatment strategy. Under the treatment strategy, individuals who become sick or progress and become sicker receive treatment and continue doing so until they recover or die. The cost of the treatment is additional to the cost of being sick or sicker for one year. The treatment improves quality of life for those individuals who are sick but has no effect on the quality of life of those who are sicker. You are asked to evaluate the cost-effectiveness of the treatment assuming a willingness to pay of $80000.</w:t>
      </w:r>
    </w:p>
    <w:p>
      <w:pPr>
        <w:pStyle w:val="BodyText"/>
      </w:pPr>
      <w:r>
        <w:t xml:space="preserve">To model this disease, we will rely on a state-transition cohort model, called the Sick-Sicker model, first described by Enns et al. The Sick-Sicker model consists of four health states: healthy (H), two disease states sick (S1) and sicker (S2) and dead (D) (Figure</w:t>
      </w:r>
      <w:r>
        <w:t xml:space="preserve"> </w:t>
      </w:r>
      <w:r>
        <w:t xml:space="preserve">). All individuals start in the healthy state. Over time, healthy individuals may develop the disease and can progress to S1. Individuals in S1 can recover (return to state H), progress further to S2 or die. Individuals in S2 cannot recover (i.e. cannot transition to either S1 or H). Individuals in H are assumed to have a fixed mortality rate and individuals in S1 and S2 have an increased mortality rate compared to healthy individuals. These rates are used to calculate the probabilities to die when in S1 and S2.</w:t>
      </w:r>
    </w:p>
    <w:p>
      <w:pPr>
        <w:pStyle w:val="Heading3"/>
      </w:pPr>
      <w:bookmarkStart w:id="23" w:name="define-model-inputs"/>
      <w:bookmarkEnd w:id="23"/>
      <w:r>
        <w:t xml:space="preserve">01 Define model inputs</w:t>
      </w:r>
    </w:p>
    <w:p>
      <w:pPr>
        <w:pStyle w:val="FirstParagraph"/>
      </w:pPr>
      <w:r>
        <w:t xml:space="preserve">The input for the Sick-Sicker model is informed by external data. All model parameter values and R variable names, for both the general set up and the external data, are presented in Table</w:t>
      </w:r>
      <w:r>
        <w:t xml:space="preserve"> </w:t>
      </w:r>
      <w:r>
        <w:t xml:space="preserve">. This tabel is informed via the files</w:t>
      </w:r>
      <w:r>
        <w:t xml:space="preserve"> </w:t>
      </w:r>
      <w:r>
        <w:rPr>
          <w:rStyle w:val="VerbatimChar"/>
        </w:rPr>
        <w:t xml:space="preserve">01_Model-inputs_function.R</w:t>
      </w:r>
      <w:r>
        <w:t xml:space="preserve">, that generates the base-case parameter set including these external values from the</w:t>
      </w:r>
      <w:r>
        <w:t xml:space="preserve"> </w:t>
      </w:r>
      <w:r>
        <w:rPr>
          <w:rStyle w:val="VerbatimChar"/>
        </w:rPr>
        <w:t xml:space="preserve">01_basecase-params.csv</w:t>
      </w:r>
      <w:r>
        <w:t xml:space="preserve"> </w:t>
      </w:r>
      <w:r>
        <w:t xml:space="preserve">dataset and the</w:t>
      </w:r>
      <w:r>
        <w:t xml:space="preserve"> </w:t>
      </w:r>
      <w:r>
        <w:rPr>
          <w:rStyle w:val="VerbatimChar"/>
        </w:rPr>
        <w:t xml:space="preserve">01_model-inputs.R</w:t>
      </w:r>
      <w:r>
        <w:t xml:space="preserve">. The age specific mortality rated are derived from the Human Mortality data base and include the all cause mortality ratae fro the USA population based on 2015 data. This information is stored in the</w:t>
      </w:r>
      <w:r>
        <w:t xml:space="preserve"> </w:t>
      </w:r>
      <w:r>
        <w:rPr>
          <w:rStyle w:val="VerbatimChar"/>
        </w:rPr>
        <w:t xml:space="preserve">01_all-cause-mortality-USA-2015.csv</w:t>
      </w:r>
      <w:r>
        <w:t xml:space="preserve"> </w:t>
      </w:r>
      <w:r>
        <w:t xml:space="preserve">file.</w:t>
      </w:r>
    </w:p>
    <w:p>
      <w:pPr>
        <w:pStyle w:val="TableCaption"/>
      </w:pPr>
      <w:r>
        <w:t xml:space="preserve"> </w:t>
      </w:r>
      <w:r>
        <w:t xml:space="preserve">Description of parameters with their R name and value.</w:t>
      </w:r>
    </w:p>
    <w:tbl>
      <w:tblPr>
        <w:tblStyle w:val="TableNormal"/>
        <w:tblW w:type="pct" w:w="0.0"/>
        <w:tblLook w:firstRow="1"/>
        <w:tblCaption w:val=" Description of parameters with their R name and value."/>
      </w:tblPr>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center"/>
            </w:pPr>
            <w:r>
              <w:rPr>
                <w:b/>
              </w:rPr>
              <w:t xml:space="preserve">R name</w:t>
            </w:r>
          </w:p>
        </w:tc>
        <w:tc>
          <w:tcPr>
            <w:tcBorders>
              <w:bottom w:val="single"/>
            </w:tcBorders>
            <w:vAlign w:val="bottom"/>
          </w:tcPr>
          <w:p>
            <w:pPr>
              <w:pStyle w:val="Compact"/>
              <w:jc w:val="center"/>
            </w:pPr>
            <w:r>
              <w:rPr>
                <w:b/>
              </w:rPr>
              <w:t xml:space="preserve">Value</w:t>
            </w:r>
          </w:p>
        </w:tc>
      </w:tr>
      <w:tr>
        <w:tc>
          <w:p>
            <w:pPr>
              <w:pStyle w:val="Compact"/>
              <w:jc w:val="left"/>
            </w:pPr>
            <w:r>
              <w:t xml:space="preserve">Time horizon (</w:t>
            </w:r>
            <m:oMath>
              <m:sSub>
                <m:e>
                  <m:r>
                    <m:t>n</m:t>
                  </m:r>
                </m:e>
                <m:sub>
                  <m:r>
                    <m:t>t</m:t>
                  </m:r>
                </m:sub>
              </m:sSub>
            </m:oMath>
            <w:r>
              <w:t xml:space="preserve">)</w:t>
            </w:r>
          </w:p>
        </w:tc>
        <w:tc>
          <w:p>
            <w:pPr>
              <w:pStyle w:val="Compact"/>
              <w:jc w:val="center"/>
            </w:pPr>
            <w:r>
              <w:rPr>
                <w:rStyle w:val="VerbatimChar"/>
              </w:rPr>
              <w:t xml:space="preserve">n.t</w:t>
            </w:r>
          </w:p>
        </w:tc>
        <w:tc>
          <w:p>
            <w:pPr>
              <w:pStyle w:val="Compact"/>
              <w:jc w:val="center"/>
            </w:pPr>
            <w:r>
              <w:t xml:space="preserve">75 years</w:t>
            </w:r>
          </w:p>
        </w:tc>
      </w:tr>
      <w:tr>
        <w:tc>
          <w:p>
            <w:pPr>
              <w:pStyle w:val="Compact"/>
              <w:jc w:val="left"/>
            </w:pPr>
            <w:r>
              <w:t xml:space="preserve">Names of health states (</w:t>
            </w:r>
            <m:oMath>
              <m:r>
                <m:t>n</m:t>
              </m:r>
            </m:oMath>
            <w:r>
              <w:t xml:space="preserve">)</w:t>
            </w:r>
          </w:p>
        </w:tc>
        <w:tc>
          <w:p>
            <w:pPr>
              <w:pStyle w:val="Compact"/>
              <w:jc w:val="center"/>
            </w:pPr>
            <w:r>
              <w:rPr>
                <w:rStyle w:val="VerbatimChar"/>
              </w:rPr>
              <w:t xml:space="preserve">v.n</w:t>
            </w:r>
          </w:p>
        </w:tc>
        <w:tc>
          <w:p>
            <w:pPr>
              <w:pStyle w:val="Compact"/>
              <w:jc w:val="center"/>
            </w:pPr>
            <w:r>
              <w:t xml:space="preserve">H, S1, S2, D</w:t>
            </w:r>
          </w:p>
        </w:tc>
      </w:tr>
      <w:tr>
        <w:tc>
          <w:p>
            <w:pPr>
              <w:pStyle w:val="Compact"/>
              <w:jc w:val="left"/>
            </w:pPr>
            <w:r>
              <w:t xml:space="preserve">Annual discount rate (costs/QALYs)</w:t>
            </w:r>
          </w:p>
        </w:tc>
        <w:tc>
          <w:p>
            <w:pPr>
              <w:pStyle w:val="Compact"/>
              <w:jc w:val="center"/>
            </w:pPr>
            <w:r>
              <w:rPr>
                <w:rStyle w:val="VerbatimChar"/>
              </w:rPr>
              <w:t xml:space="preserve">d.c</w:t>
            </w:r>
            <w:r>
              <w:t xml:space="preserve">/</w:t>
            </w:r>
            <w:r>
              <w:rPr>
                <w:rStyle w:val="VerbatimChar"/>
              </w:rPr>
              <w:t xml:space="preserve">d.e</w:t>
            </w:r>
          </w:p>
        </w:tc>
        <w:tc>
          <w:p>
            <w:pPr>
              <w:pStyle w:val="Compact"/>
              <w:jc w:val="center"/>
            </w:pPr>
            <w:r>
              <w:t xml:space="preserve">3%</w:t>
            </w:r>
          </w:p>
        </w:tc>
      </w:tr>
      <w:tr>
        <w:tc>
          <w:p>
            <w:pPr>
              <w:pStyle w:val="Compact"/>
              <w:jc w:val="left"/>
            </w:pPr>
            <w:r>
              <w:t xml:space="preserve">Annual transition probabilities</w:t>
            </w:r>
          </w:p>
        </w:tc>
        <w:tc>
          <w:p>
            <w:pPr>
              <w:pStyle w:val="Compact"/>
            </w:pPr>
          </w:p>
        </w:tc>
        <w:tc>
          <w:p>
            <w:pPr>
              <w:pStyle w:val="Compact"/>
            </w:pPr>
          </w:p>
        </w:tc>
      </w:tr>
      <w:tr>
        <w:tc>
          <w:p>
            <w:pPr>
              <w:pStyle w:val="Compact"/>
              <w:jc w:val="left"/>
            </w:pPr>
            <w:r>
              <w:t xml:space="preserve">- Disease onset (H to S1)</w:t>
            </w:r>
          </w:p>
        </w:tc>
        <w:tc>
          <w:p>
            <w:pPr>
              <w:pStyle w:val="Compact"/>
              <w:jc w:val="center"/>
            </w:pPr>
            <w:r>
              <w:rPr>
                <w:rStyle w:val="VerbatimChar"/>
              </w:rPr>
              <w:t xml:space="preserve">p.HS1</w:t>
            </w:r>
          </w:p>
        </w:tc>
        <w:tc>
          <w:p>
            <w:pPr>
              <w:pStyle w:val="Compact"/>
              <w:jc w:val="center"/>
            </w:pPr>
            <w:r>
              <w:t xml:space="preserve">0.15</w:t>
            </w:r>
          </w:p>
        </w:tc>
      </w:tr>
      <w:tr>
        <w:tc>
          <w:p>
            <w:pPr>
              <w:pStyle w:val="Compact"/>
              <w:jc w:val="left"/>
            </w:pPr>
            <w:r>
              <w:t xml:space="preserve">- Recovery (S1 to H)</w:t>
            </w:r>
          </w:p>
        </w:tc>
        <w:tc>
          <w:p>
            <w:pPr>
              <w:pStyle w:val="Compact"/>
              <w:jc w:val="center"/>
            </w:pPr>
            <w:r>
              <w:rPr>
                <w:rStyle w:val="VerbatimChar"/>
              </w:rPr>
              <w:t xml:space="preserve">p.S1H</w:t>
            </w:r>
          </w:p>
        </w:tc>
        <w:tc>
          <w:p>
            <w:pPr>
              <w:pStyle w:val="Compact"/>
              <w:jc w:val="center"/>
            </w:pPr>
            <w:r>
              <w:t xml:space="preserve">0.5</w:t>
            </w:r>
          </w:p>
        </w:tc>
      </w:tr>
      <w:tr>
        <w:tc>
          <w:p>
            <w:pPr>
              <w:pStyle w:val="Compact"/>
              <w:jc w:val="left"/>
            </w:pPr>
            <w:r>
              <w:t xml:space="preserve">- Disease progression (S1 to S2) in the time-homogenous model</w:t>
            </w:r>
          </w:p>
        </w:tc>
        <w:tc>
          <w:p>
            <w:pPr>
              <w:pStyle w:val="Compact"/>
              <w:jc w:val="center"/>
            </w:pPr>
            <w:r>
              <w:rPr>
                <w:rStyle w:val="VerbatimChar"/>
              </w:rPr>
              <w:t xml:space="preserve">p.S1S2</w:t>
            </w:r>
          </w:p>
        </w:tc>
        <w:tc>
          <w:p>
            <w:pPr>
              <w:pStyle w:val="Compact"/>
              <w:jc w:val="center"/>
            </w:pPr>
            <w:r>
              <w:t xml:space="preserve">0.105</w:t>
            </w:r>
          </w:p>
        </w:tc>
      </w:tr>
      <w:tr>
        <w:tc>
          <w:p>
            <w:pPr>
              <w:pStyle w:val="Compact"/>
              <w:jc w:val="left"/>
            </w:pPr>
            <w:r>
              <w:t xml:space="preserve">Annual mortality</w:t>
            </w:r>
          </w:p>
        </w:tc>
        <w:tc>
          <w:p>
            <w:pPr>
              <w:pStyle w:val="Compact"/>
            </w:pPr>
          </w:p>
        </w:tc>
        <w:tc>
          <w:p>
            <w:pPr>
              <w:pStyle w:val="Compact"/>
            </w:pPr>
          </w:p>
        </w:tc>
      </w:tr>
      <w:tr>
        <w:tc>
          <w:p>
            <w:pPr>
              <w:pStyle w:val="Compact"/>
              <w:jc w:val="left"/>
            </w:pPr>
            <w:r>
              <w:t xml:space="preserve">- All-cause mortality (H to D)</w:t>
            </w:r>
          </w:p>
        </w:tc>
        <w:tc>
          <w:p>
            <w:pPr>
              <w:pStyle w:val="Compact"/>
              <w:jc w:val="center"/>
            </w:pPr>
            <w:r>
              <w:rPr>
                <w:rStyle w:val="VerbatimChar"/>
              </w:rPr>
              <w:t xml:space="preserve">p.HD</w:t>
            </w:r>
          </w:p>
        </w:tc>
        <w:tc>
          <w:p>
            <w:pPr>
              <w:pStyle w:val="Compact"/>
              <w:jc w:val="center"/>
            </w:pPr>
            <w:r>
              <w:t xml:space="preserve">age-specific</w:t>
            </w:r>
          </w:p>
        </w:tc>
      </w:tr>
      <w:tr>
        <w:tc>
          <w:p>
            <w:pPr>
              <w:pStyle w:val="Compact"/>
              <w:jc w:val="left"/>
            </w:pPr>
            <w:r>
              <w:t xml:space="preserve">- Hazard ratio of death in S1 vs H</w:t>
            </w:r>
          </w:p>
        </w:tc>
        <w:tc>
          <w:p>
            <w:pPr>
              <w:pStyle w:val="Compact"/>
              <w:jc w:val="center"/>
            </w:pPr>
            <w:r>
              <w:rPr>
                <w:rStyle w:val="VerbatimChar"/>
              </w:rPr>
              <w:t xml:space="preserve">hr.S1</w:t>
            </w:r>
          </w:p>
        </w:tc>
        <w:tc>
          <w:p>
            <w:pPr>
              <w:pStyle w:val="Compact"/>
              <w:jc w:val="center"/>
            </w:pPr>
            <w:r>
              <w:t xml:space="preserve">3</w:t>
            </w:r>
          </w:p>
        </w:tc>
      </w:tr>
      <w:tr>
        <w:tc>
          <w:p>
            <w:pPr>
              <w:pStyle w:val="Compact"/>
              <w:jc w:val="left"/>
            </w:pPr>
            <w:r>
              <w:t xml:space="preserve">- Hazard ratio of death in S2 vs H</w:t>
            </w:r>
          </w:p>
        </w:tc>
        <w:tc>
          <w:p>
            <w:pPr>
              <w:pStyle w:val="Compact"/>
              <w:jc w:val="center"/>
            </w:pPr>
            <w:r>
              <w:rPr>
                <w:rStyle w:val="VerbatimChar"/>
              </w:rPr>
              <w:t xml:space="preserve">hr.S2</w:t>
            </w:r>
          </w:p>
        </w:tc>
        <w:tc>
          <w:p>
            <w:pPr>
              <w:pStyle w:val="Compact"/>
              <w:jc w:val="center"/>
            </w:pPr>
            <w:r>
              <w:t xml:space="preserve">3</w:t>
            </w:r>
          </w:p>
        </w:tc>
      </w:tr>
      <w:tr>
        <w:tc>
          <w:p>
            <w:pPr>
              <w:pStyle w:val="Compact"/>
              <w:jc w:val="left"/>
            </w:pPr>
            <w:r>
              <w:t xml:space="preserve">Annual costs</w:t>
            </w:r>
          </w:p>
        </w:tc>
        <w:tc>
          <w:p>
            <w:pPr>
              <w:pStyle w:val="Compact"/>
            </w:pPr>
          </w:p>
        </w:tc>
        <w:tc>
          <w:p>
            <w:pPr>
              <w:pStyle w:val="Compact"/>
            </w:pPr>
          </w:p>
        </w:tc>
      </w:tr>
      <w:tr>
        <w:tc>
          <w:p>
            <w:pPr>
              <w:pStyle w:val="Compact"/>
              <w:jc w:val="left"/>
            </w:pPr>
            <w:r>
              <w:t xml:space="preserve">- Healthy individuals</w:t>
            </w:r>
          </w:p>
        </w:tc>
        <w:tc>
          <w:p>
            <w:pPr>
              <w:pStyle w:val="Compact"/>
              <w:jc w:val="center"/>
            </w:pPr>
            <w:r>
              <w:rPr>
                <w:rStyle w:val="VerbatimChar"/>
              </w:rPr>
              <w:t xml:space="preserve">c.H</w:t>
            </w:r>
          </w:p>
        </w:tc>
        <w:tc>
          <w:p>
            <w:pPr>
              <w:pStyle w:val="Compact"/>
              <w:jc w:val="center"/>
            </w:pPr>
            <w:r>
              <w:t xml:space="preserve">$2,000</w:t>
            </w:r>
          </w:p>
        </w:tc>
      </w:tr>
      <w:tr>
        <w:tc>
          <w:p>
            <w:pPr>
              <w:pStyle w:val="Compact"/>
              <w:jc w:val="left"/>
            </w:pPr>
            <w:r>
              <w:t xml:space="preserve">- Sick individuals in S1</w:t>
            </w:r>
          </w:p>
        </w:tc>
        <w:tc>
          <w:p>
            <w:pPr>
              <w:pStyle w:val="Compact"/>
              <w:jc w:val="center"/>
            </w:pPr>
            <w:r>
              <w:rPr>
                <w:rStyle w:val="VerbatimChar"/>
              </w:rPr>
              <w:t xml:space="preserve">c.S1</w:t>
            </w:r>
          </w:p>
        </w:tc>
        <w:tc>
          <w:p>
            <w:pPr>
              <w:pStyle w:val="Compact"/>
              <w:jc w:val="center"/>
            </w:pPr>
            <w:r>
              <w:t xml:space="preserve">$4,000</w:t>
            </w:r>
          </w:p>
        </w:tc>
      </w:tr>
      <w:tr>
        <w:tc>
          <w:p>
            <w:pPr>
              <w:pStyle w:val="Compact"/>
              <w:jc w:val="left"/>
            </w:pPr>
            <w:r>
              <w:t xml:space="preserve">- Sick individuals in S2</w:t>
            </w:r>
          </w:p>
        </w:tc>
        <w:tc>
          <w:p>
            <w:pPr>
              <w:pStyle w:val="Compact"/>
              <w:jc w:val="center"/>
            </w:pPr>
            <w:r>
              <w:rPr>
                <w:rStyle w:val="VerbatimChar"/>
              </w:rPr>
              <w:t xml:space="preserve">c.S2</w:t>
            </w:r>
          </w:p>
        </w:tc>
        <w:tc>
          <w:p>
            <w:pPr>
              <w:pStyle w:val="Compact"/>
              <w:jc w:val="center"/>
            </w:pPr>
            <w:r>
              <w:t xml:space="preserve">$15,000</w:t>
            </w:r>
          </w:p>
        </w:tc>
      </w:tr>
      <w:tr>
        <w:tc>
          <w:p>
            <w:pPr>
              <w:pStyle w:val="Compact"/>
              <w:jc w:val="left"/>
            </w:pPr>
            <w:r>
              <w:t xml:space="preserve">- Dead individuals</w:t>
            </w:r>
          </w:p>
        </w:tc>
        <w:tc>
          <w:p>
            <w:pPr>
              <w:pStyle w:val="Compact"/>
              <w:jc w:val="center"/>
            </w:pPr>
            <w:r>
              <w:rPr>
                <w:rStyle w:val="VerbatimChar"/>
              </w:rPr>
              <w:t xml:space="preserve">c.D</w:t>
            </w:r>
          </w:p>
        </w:tc>
        <w:tc>
          <w:p>
            <w:pPr>
              <w:pStyle w:val="Compact"/>
              <w:jc w:val="center"/>
            </w:pPr>
            <w:r>
              <w:t xml:space="preserve">$0</w:t>
            </w:r>
          </w:p>
        </w:tc>
      </w:tr>
      <w:tr>
        <w:tc>
          <w:p>
            <w:pPr>
              <w:pStyle w:val="Compact"/>
              <w:jc w:val="left"/>
            </w:pPr>
            <w:r>
              <w:t xml:space="preserve">- Additional costs of sick individuals treated in S1 or S2</w:t>
            </w:r>
          </w:p>
        </w:tc>
        <w:tc>
          <w:p>
            <w:pPr>
              <w:pStyle w:val="Compact"/>
              <w:jc w:val="center"/>
            </w:pPr>
            <w:r>
              <w:rPr>
                <w:rStyle w:val="VerbatimChar"/>
              </w:rPr>
              <w:t xml:space="preserve">c.Trt</w:t>
            </w:r>
          </w:p>
        </w:tc>
        <w:tc>
          <w:p>
            <w:pPr>
              <w:pStyle w:val="Compact"/>
              <w:jc w:val="center"/>
            </w:pPr>
            <w:r>
              <w:t xml:space="preserve">$12,000</w:t>
            </w:r>
          </w:p>
        </w:tc>
      </w:tr>
      <w:tr>
        <w:tc>
          <w:p>
            <w:pPr>
              <w:pStyle w:val="Compact"/>
              <w:jc w:val="left"/>
            </w:pPr>
            <w:r>
              <w:t xml:space="preserve">Utility weights</w:t>
            </w:r>
          </w:p>
        </w:tc>
        <w:tc>
          <w:p>
            <w:pPr>
              <w:pStyle w:val="Compact"/>
            </w:pPr>
          </w:p>
        </w:tc>
        <w:tc>
          <w:p>
            <w:pPr>
              <w:pStyle w:val="Compact"/>
            </w:pPr>
          </w:p>
        </w:tc>
      </w:tr>
      <w:tr>
        <w:tc>
          <w:p>
            <w:pPr>
              <w:pStyle w:val="Compact"/>
              <w:jc w:val="left"/>
            </w:pPr>
            <w:r>
              <w:t xml:space="preserve">- Healthy individuals</w:t>
            </w:r>
          </w:p>
        </w:tc>
        <w:tc>
          <w:p>
            <w:pPr>
              <w:pStyle w:val="Compact"/>
              <w:jc w:val="center"/>
            </w:pPr>
            <w:r>
              <w:rPr>
                <w:rStyle w:val="VerbatimChar"/>
              </w:rPr>
              <w:t xml:space="preserve">u.H</w:t>
            </w:r>
          </w:p>
        </w:tc>
        <w:tc>
          <w:p>
            <w:pPr>
              <w:pStyle w:val="Compact"/>
              <w:jc w:val="center"/>
            </w:pPr>
            <w:r>
              <w:t xml:space="preserve">1.00</w:t>
            </w:r>
          </w:p>
        </w:tc>
      </w:tr>
      <w:tr>
        <w:tc>
          <w:p>
            <w:pPr>
              <w:pStyle w:val="Compact"/>
              <w:jc w:val="left"/>
            </w:pPr>
            <w:r>
              <w:t xml:space="preserve">- Sick individuals in S1</w:t>
            </w:r>
          </w:p>
        </w:tc>
        <w:tc>
          <w:p>
            <w:pPr>
              <w:pStyle w:val="Compact"/>
              <w:jc w:val="center"/>
            </w:pPr>
            <w:r>
              <w:rPr>
                <w:rStyle w:val="VerbatimChar"/>
              </w:rPr>
              <w:t xml:space="preserve">u.S1</w:t>
            </w:r>
          </w:p>
        </w:tc>
        <w:tc>
          <w:p>
            <w:pPr>
              <w:pStyle w:val="Compact"/>
              <w:jc w:val="center"/>
            </w:pPr>
            <w:r>
              <w:t xml:space="preserve">0.75</w:t>
            </w:r>
          </w:p>
        </w:tc>
      </w:tr>
      <w:tr>
        <w:tc>
          <w:p>
            <w:pPr>
              <w:pStyle w:val="Compact"/>
              <w:jc w:val="left"/>
            </w:pPr>
            <w:r>
              <w:t xml:space="preserve">- Sick individuals in S2</w:t>
            </w:r>
          </w:p>
        </w:tc>
        <w:tc>
          <w:p>
            <w:pPr>
              <w:pStyle w:val="Compact"/>
              <w:jc w:val="center"/>
            </w:pPr>
            <w:r>
              <w:rPr>
                <w:rStyle w:val="VerbatimChar"/>
              </w:rPr>
              <w:t xml:space="preserve">u.S2</w:t>
            </w:r>
          </w:p>
        </w:tc>
        <w:tc>
          <w:p>
            <w:pPr>
              <w:pStyle w:val="Compact"/>
              <w:jc w:val="center"/>
            </w:pPr>
            <w:r>
              <w:t xml:space="preserve">0.50</w:t>
            </w:r>
          </w:p>
        </w:tc>
      </w:tr>
      <w:tr>
        <w:tc>
          <w:p>
            <w:pPr>
              <w:pStyle w:val="Compact"/>
              <w:jc w:val="left"/>
            </w:pPr>
            <w:r>
              <w:t xml:space="preserve">- Dead individuals</w:t>
            </w:r>
          </w:p>
        </w:tc>
        <w:tc>
          <w:p>
            <w:pPr>
              <w:pStyle w:val="Compact"/>
              <w:jc w:val="center"/>
            </w:pPr>
            <w:r>
              <w:rPr>
                <w:rStyle w:val="VerbatimChar"/>
              </w:rPr>
              <w:t xml:space="preserve">u.D</w:t>
            </w:r>
          </w:p>
        </w:tc>
        <w:tc>
          <w:p>
            <w:pPr>
              <w:pStyle w:val="Compact"/>
              <w:jc w:val="center"/>
            </w:pPr>
            <w:r>
              <w:t xml:space="preserve">0.00</w:t>
            </w:r>
          </w:p>
        </w:tc>
      </w:tr>
      <w:tr>
        <w:tc>
          <w:p>
            <w:pPr>
              <w:pStyle w:val="Compact"/>
              <w:jc w:val="left"/>
            </w:pPr>
            <w:r>
              <w:t xml:space="preserve">Intervention effect</w:t>
            </w:r>
          </w:p>
        </w:tc>
        <w:tc>
          <w:p>
            <w:pPr>
              <w:pStyle w:val="Compact"/>
            </w:pPr>
          </w:p>
        </w:tc>
        <w:tc>
          <w:p>
            <w:pPr>
              <w:pStyle w:val="Compact"/>
            </w:pPr>
          </w:p>
        </w:tc>
      </w:tr>
      <w:tr>
        <w:tc>
          <w:p>
            <w:pPr>
              <w:pStyle w:val="Compact"/>
              <w:jc w:val="left"/>
            </w:pPr>
            <w:r>
              <w:t xml:space="preserve">- Utility for treated individuals in S1</w:t>
            </w:r>
          </w:p>
        </w:tc>
        <w:tc>
          <w:p>
            <w:pPr>
              <w:pStyle w:val="Compact"/>
              <w:jc w:val="center"/>
            </w:pPr>
            <w:r>
              <w:rPr>
                <w:rStyle w:val="VerbatimChar"/>
              </w:rPr>
              <w:t xml:space="preserve">u.Trt</w:t>
            </w:r>
          </w:p>
        </w:tc>
        <w:tc>
          <w:p>
            <w:pPr>
              <w:pStyle w:val="Compact"/>
              <w:jc w:val="center"/>
            </w:pPr>
            <w:r>
              <w:t xml:space="preserve">0.95</w:t>
            </w:r>
          </w:p>
        </w:tc>
      </w:tr>
      <w:tr>
        <w:tc>
          <w:p>
            <w:pPr>
              <w:pStyle w:val="Compact"/>
              <w:jc w:val="left"/>
            </w:pPr>
            <w:r>
              <w:t xml:space="preserve">Transition rewards</w:t>
            </w:r>
          </w:p>
        </w:tc>
        <w:tc>
          <w:p>
            <w:pPr>
              <w:pStyle w:val="Compact"/>
            </w:pPr>
          </w:p>
        </w:tc>
        <w:tc>
          <w:p>
            <w:pPr>
              <w:pStyle w:val="Compact"/>
            </w:pPr>
          </w:p>
        </w:tc>
      </w:tr>
      <w:tr>
        <w:tc>
          <w:p>
            <w:pPr>
              <w:pStyle w:val="Compact"/>
              <w:jc w:val="left"/>
            </w:pPr>
            <w:r>
              <w:t xml:space="preserve">- Utility decrement of healthy individuals</w:t>
            </w:r>
          </w:p>
        </w:tc>
        <w:tc>
          <w:p>
            <w:pPr>
              <w:pStyle w:val="Compact"/>
              <w:jc w:val="center"/>
            </w:pPr>
            <w:r>
              <w:rPr>
                <w:rStyle w:val="VerbatimChar"/>
              </w:rPr>
              <w:t xml:space="preserve">du.HS1</w:t>
            </w:r>
          </w:p>
        </w:tc>
        <w:tc>
          <w:p>
            <w:pPr>
              <w:pStyle w:val="Compact"/>
              <w:jc w:val="center"/>
            </w:pPr>
            <w:r>
              <w:t xml:space="preserve">0.01</w:t>
            </w:r>
          </w:p>
        </w:tc>
      </w:tr>
      <w:tr>
        <w:tc>
          <w:p>
            <w:pPr>
              <w:pStyle w:val="Compact"/>
              <w:jc w:val="left"/>
            </w:pPr>
            <w:r>
              <w:t xml:space="preserve">when transitioning to S1</w:t>
            </w:r>
          </w:p>
        </w:tc>
        <w:tc>
          <w:p>
            <w:pPr>
              <w:pStyle w:val="Compact"/>
            </w:pPr>
          </w:p>
        </w:tc>
        <w:tc>
          <w:p>
            <w:pPr>
              <w:pStyle w:val="Compact"/>
            </w:pPr>
          </w:p>
        </w:tc>
      </w:tr>
      <w:tr>
        <w:tc>
          <w:p>
            <w:pPr>
              <w:pStyle w:val="Compact"/>
              <w:jc w:val="left"/>
            </w:pPr>
            <w:r>
              <w:t xml:space="preserve">- Cost of healthy individuals</w:t>
            </w:r>
          </w:p>
        </w:tc>
        <w:tc>
          <w:p>
            <w:pPr>
              <w:pStyle w:val="Compact"/>
              <w:jc w:val="center"/>
            </w:pPr>
            <w:r>
              <w:rPr>
                <w:rStyle w:val="VerbatimChar"/>
              </w:rPr>
              <w:t xml:space="preserve">ic.HS1</w:t>
            </w:r>
          </w:p>
        </w:tc>
        <w:tc>
          <w:p>
            <w:pPr>
              <w:pStyle w:val="Compact"/>
              <w:jc w:val="center"/>
            </w:pPr>
            <w:r>
              <w:t xml:space="preserve">$1,000</w:t>
            </w:r>
          </w:p>
        </w:tc>
      </w:tr>
      <w:tr>
        <w:tc>
          <w:p>
            <w:pPr>
              <w:pStyle w:val="Compact"/>
              <w:jc w:val="left"/>
            </w:pPr>
            <w:r>
              <w:t xml:space="preserve">when transitioning to S1</w:t>
            </w:r>
          </w:p>
        </w:tc>
        <w:tc>
          <w:p>
            <w:pPr>
              <w:pStyle w:val="Compact"/>
            </w:pPr>
          </w:p>
        </w:tc>
        <w:tc>
          <w:p>
            <w:pPr>
              <w:pStyle w:val="Compact"/>
            </w:pPr>
          </w:p>
        </w:tc>
      </w:tr>
      <w:tr>
        <w:tc>
          <w:p>
            <w:pPr>
              <w:pStyle w:val="Compact"/>
              <w:jc w:val="left"/>
            </w:pPr>
            <w:r>
              <w:t xml:space="preserve">- Cost of dying</w:t>
            </w:r>
          </w:p>
        </w:tc>
        <w:tc>
          <w:p>
            <w:pPr>
              <w:pStyle w:val="Compact"/>
              <w:jc w:val="center"/>
            </w:pPr>
            <w:r>
              <w:rPr>
                <w:rStyle w:val="VerbatimChar"/>
              </w:rPr>
              <w:t xml:space="preserve">ic.D</w:t>
            </w:r>
          </w:p>
        </w:tc>
        <w:tc>
          <w:p>
            <w:pPr>
              <w:pStyle w:val="Compact"/>
              <w:jc w:val="center"/>
            </w:pPr>
            <w:r>
              <w:t xml:space="preserve">$2,000</w:t>
            </w:r>
          </w:p>
        </w:tc>
      </w:tr>
    </w:tbl>
    <w:p>
      <w:pPr>
        <w:pStyle w:val="Heading3"/>
      </w:pPr>
      <w:bookmarkStart w:id="24" w:name="model-implementation"/>
      <w:bookmarkEnd w:id="24"/>
      <w:r>
        <w:t xml:space="preserve">02 Model implementation</w:t>
      </w:r>
    </w:p>
    <w:p>
      <w:pPr>
        <w:pStyle w:val="FirstParagraph"/>
      </w:pPr>
      <w:r>
        <w:t xml:space="preserve">In order to be able to run a state-transition cohort model a transition probability matrix needs to be created. This matrix contains the probabilities of transitioning from the current health state, indicated by the rows, towards the new health states, specified in the colums. More information about creating these matrices is described in a paper about State-transition models using R</w:t>
      </w:r>
      <w:r>
        <w:t xml:space="preserve"> </w:t>
      </w:r>
      <w:r>
        <w:t xml:space="preserve">(Alarid-Escudero2018). In this case example the</w:t>
      </w:r>
    </w:p>
    <w:p>
      <w:pPr>
        <w:pStyle w:val="BodyText"/>
      </w:pPr>
      <w:r>
        <w:t xml:space="preserve">To compute the mortality risks from the Sick and Sicker states, we transform</w:t>
      </w:r>
      <w:r>
        <w:t xml:space="preserve"> </w:t>
      </w:r>
      <w:r>
        <w:rPr>
          <w:rStyle w:val="VerbatimChar"/>
        </w:rPr>
        <w:t xml:space="preserve">v.params.init$p.HD</w:t>
      </w:r>
      <w:r>
        <w:t xml:space="preserve"> </w:t>
      </w:r>
      <w:r>
        <w:t xml:space="preserve">to a rate assuming a constant exponential rate,</w:t>
      </w:r>
      <w:r>
        <w:t xml:space="preserve"> </w:t>
      </w:r>
      <w:r>
        <w:rPr>
          <w:rStyle w:val="VerbatimChar"/>
        </w:rPr>
        <w:t xml:space="preserve">-log(1 – v.params.init$p.HD)</w:t>
      </w:r>
      <w:r>
        <w:t xml:space="preserve">, multiply it by the hazard ratios</w:t>
      </w:r>
      <w:r>
        <w:t xml:space="preserve"> </w:t>
      </w:r>
      <w:r>
        <w:rPr>
          <w:rStyle w:val="VerbatimChar"/>
        </w:rPr>
        <w:t xml:space="preserve">v.params.init$hr.S1</w:t>
      </w:r>
      <w:r>
        <w:t xml:space="preserve"> </w:t>
      </w:r>
      <w:r>
        <w:t xml:space="preserve">and</w:t>
      </w:r>
      <w:r>
        <w:t xml:space="preserve"> </w:t>
      </w:r>
      <w:r>
        <w:rPr>
          <w:rStyle w:val="VerbatimChar"/>
        </w:rPr>
        <w:t xml:space="preserve">v.params.init$hr.S2</w:t>
      </w:r>
      <w:r>
        <w:t xml:space="preserve">, respectively, and then convert them back to a probability. See the R code below for more details on the calculations.</w:t>
      </w:r>
    </w:p>
    <w:p>
      <w:pPr>
        <w:pStyle w:val="SourceCode"/>
      </w:pPr>
      <w:r>
        <w:rPr>
          <w:rStyle w:val="NormalTok"/>
        </w:rPr>
        <w:t xml:space="preserve">p.S1D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v.params.init</w:t>
      </w:r>
      <w:r>
        <w:rPr>
          <w:rStyle w:val="OperatorTok"/>
        </w:rPr>
        <w:t xml:space="preserve">$</w:t>
      </w:r>
      <w:r>
        <w:rPr>
          <w:rStyle w:val="NormalTok"/>
        </w:rPr>
        <w:t xml:space="preserve">p.HD) </w:t>
      </w:r>
      <w:r>
        <w:rPr>
          <w:rStyle w:val="OperatorTok"/>
        </w:rPr>
        <w:t xml:space="preserve">*</w:t>
      </w:r>
      <w:r>
        <w:rPr>
          <w:rStyle w:val="StringTok"/>
        </w:rPr>
        <w:t xml:space="preserve"> </w:t>
      </w:r>
      <w:r>
        <w:rPr>
          <w:rStyle w:val="NormalTok"/>
        </w:rPr>
        <w:t xml:space="preserve">v.params.init</w:t>
      </w:r>
      <w:r>
        <w:rPr>
          <w:rStyle w:val="OperatorTok"/>
        </w:rPr>
        <w:t xml:space="preserve">$</w:t>
      </w:r>
      <w:r>
        <w:rPr>
          <w:rStyle w:val="NormalTok"/>
        </w:rPr>
        <w:t xml:space="preserve">hr.S1) </w:t>
      </w:r>
      <w:r>
        <w:rPr>
          <w:rStyle w:val="CommentTok"/>
        </w:rPr>
        <w:t xml:space="preserve"># probability of dying in Sick</w:t>
      </w:r>
      <w:r>
        <w:br w:type="textWrapping"/>
      </w:r>
      <w:r>
        <w:rPr>
          <w:rStyle w:val="NormalTok"/>
        </w:rPr>
        <w:t xml:space="preserve">p.S2D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v.params.init</w:t>
      </w:r>
      <w:r>
        <w:rPr>
          <w:rStyle w:val="OperatorTok"/>
        </w:rPr>
        <w:t xml:space="preserve">$</w:t>
      </w:r>
      <w:r>
        <w:rPr>
          <w:rStyle w:val="NormalTok"/>
        </w:rPr>
        <w:t xml:space="preserve">p.HD) </w:t>
      </w:r>
      <w:r>
        <w:rPr>
          <w:rStyle w:val="OperatorTok"/>
        </w:rPr>
        <w:t xml:space="preserve">*</w:t>
      </w:r>
      <w:r>
        <w:rPr>
          <w:rStyle w:val="StringTok"/>
        </w:rPr>
        <w:t xml:space="preserve"> </w:t>
      </w:r>
      <w:r>
        <w:rPr>
          <w:rStyle w:val="NormalTok"/>
        </w:rPr>
        <w:t xml:space="preserve">v.params.init</w:t>
      </w:r>
      <w:r>
        <w:rPr>
          <w:rStyle w:val="OperatorTok"/>
        </w:rPr>
        <w:t xml:space="preserve">$</w:t>
      </w:r>
      <w:r>
        <w:rPr>
          <w:rStyle w:val="NormalTok"/>
        </w:rPr>
        <w:t xml:space="preserve">hr.S2) </w:t>
      </w:r>
      <w:r>
        <w:rPr>
          <w:rStyle w:val="CommentTok"/>
        </w:rPr>
        <w:t xml:space="preserve"># probability of dying in Sicker</w:t>
      </w:r>
    </w:p>
    <w:p>
      <w:pPr>
        <w:pStyle w:val="SourceCode"/>
      </w:pPr>
      <w:r>
        <w:rPr>
          <w:rStyle w:val="KeywordTok"/>
        </w:rPr>
        <w:t xml:space="preserve">kable</w:t>
      </w:r>
      <w:r>
        <w:rPr>
          <w:rStyle w:val="NormalTok"/>
        </w:rPr>
        <w:t xml:space="preserve">(l.out.stm</w:t>
      </w:r>
      <w:r>
        <w:rPr>
          <w:rStyle w:val="OperatorTok"/>
        </w:rPr>
        <w:t xml:space="preserve">$</w:t>
      </w:r>
      <w:r>
        <w:rPr>
          <w:rStyle w:val="NormalTok"/>
        </w:rPr>
        <w:t xml:space="preserve">a.P[, , </w:t>
      </w:r>
      <w:r>
        <w:rPr>
          <w:rStyle w:val="DecValTok"/>
        </w:rPr>
        <w:t xml:space="preserve">1</w:t>
      </w:r>
      <w:r>
        <w:rPr>
          <w:rStyle w:val="NormalTok"/>
        </w:rPr>
        <w:t xml:space="preserve">]) </w:t>
      </w:r>
      <w:r>
        <w:rPr>
          <w:rStyle w:val="CommentTok"/>
        </w:rPr>
        <w:t xml:space="preserve"># transition probability matrix for the first three cycles</w:t>
      </w:r>
    </w:p>
    <w:p>
      <w:pPr>
        <w:pStyle w:val="Compact"/>
      </w:pPr>
      <w:r>
        <w:t xml:space="preserve">H</w:t>
      </w:r>
    </w:p>
    <w:p>
      <w:pPr>
        <w:pStyle w:val="Compact"/>
      </w:pPr>
      <w:r>
        <w:t xml:space="preserve">S1</w:t>
      </w:r>
    </w:p>
    <w:p>
      <w:pPr>
        <w:pStyle w:val="Compact"/>
      </w:pPr>
      <w:r>
        <w:t xml:space="preserve">S2</w:t>
      </w:r>
    </w:p>
    <w:p>
      <w:pPr>
        <w:pStyle w:val="Compact"/>
      </w:pPr>
      <w:r>
        <w:t xml:space="preserve">D</w:t>
      </w:r>
    </w:p>
    <w:p>
      <w:pPr>
        <w:pStyle w:val="Compact"/>
      </w:pPr>
      <w:r>
        <w:t xml:space="preserve">H</w:t>
      </w:r>
    </w:p>
    <w:p>
      <w:pPr>
        <w:pStyle w:val="Compact"/>
      </w:pPr>
      <w:r>
        <w:t xml:space="preserve">0.8489865</w:t>
      </w:r>
    </w:p>
    <w:p>
      <w:pPr>
        <w:pStyle w:val="Compact"/>
      </w:pPr>
      <w:r>
        <w:t xml:space="preserve">0.1500000</w:t>
      </w:r>
    </w:p>
    <w:p>
      <w:pPr>
        <w:pStyle w:val="Compact"/>
      </w:pPr>
      <w:r>
        <w:t xml:space="preserve">0.0000000</w:t>
      </w:r>
    </w:p>
    <w:p>
      <w:pPr>
        <w:pStyle w:val="Compact"/>
      </w:pPr>
      <w:r>
        <w:t xml:space="preserve">0.0010135</w:t>
      </w:r>
    </w:p>
    <w:p>
      <w:pPr>
        <w:pStyle w:val="Compact"/>
      </w:pPr>
      <w:r>
        <w:t xml:space="preserve">S1</w:t>
      </w:r>
    </w:p>
    <w:p>
      <w:pPr>
        <w:pStyle w:val="Compact"/>
      </w:pPr>
      <w:r>
        <w:t xml:space="preserve">0.5000000</w:t>
      </w:r>
    </w:p>
    <w:p>
      <w:pPr>
        <w:pStyle w:val="Compact"/>
      </w:pPr>
      <w:r>
        <w:t xml:space="preserve">0.3919626</w:t>
      </w:r>
    </w:p>
    <w:p>
      <w:pPr>
        <w:pStyle w:val="Compact"/>
      </w:pPr>
      <w:r>
        <w:t xml:space="preserve">0.1050000</w:t>
      </w:r>
    </w:p>
    <w:p>
      <w:pPr>
        <w:pStyle w:val="Compact"/>
      </w:pPr>
      <w:r>
        <w:t xml:space="preserve">0.0030374</w:t>
      </w:r>
    </w:p>
    <w:p>
      <w:pPr>
        <w:pStyle w:val="Compact"/>
      </w:pPr>
      <w:r>
        <w:t xml:space="preserve">S2</w:t>
      </w:r>
    </w:p>
    <w:p>
      <w:pPr>
        <w:pStyle w:val="Compact"/>
      </w:pPr>
      <w:r>
        <w:t xml:space="preserve">0.0000000</w:t>
      </w:r>
    </w:p>
    <w:p>
      <w:pPr>
        <w:pStyle w:val="Compact"/>
      </w:pPr>
      <w:r>
        <w:t xml:space="preserve">0.0000000</w:t>
      </w:r>
    </w:p>
    <w:p>
      <w:pPr>
        <w:pStyle w:val="Compact"/>
      </w:pPr>
      <w:r>
        <w:t xml:space="preserve">0.9899112</w:t>
      </w:r>
    </w:p>
    <w:p>
      <w:pPr>
        <w:pStyle w:val="Compact"/>
      </w:pPr>
      <w:r>
        <w:t xml:space="preserve">0.0100888</w:t>
      </w:r>
    </w:p>
    <w:p>
      <w:pPr>
        <w:pStyle w:val="Compact"/>
      </w:pPr>
      <w:r>
        <w:t xml:space="preserve">D</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1.0000000</w:t>
      </w:r>
    </w:p>
    <w:p>
      <w:pPr>
        <w:pStyle w:val="SourceCode"/>
      </w:pPr>
      <w:r>
        <w:rPr>
          <w:rStyle w:val="KeywordTok"/>
        </w:rPr>
        <w:t xml:space="preserve">kable</w:t>
      </w:r>
      <w:r>
        <w:rPr>
          <w:rStyle w:val="NormalTok"/>
        </w:rPr>
        <w:t xml:space="preserve">(l.out.stm</w:t>
      </w:r>
      <w:r>
        <w:rPr>
          <w:rStyle w:val="OperatorTok"/>
        </w:rPr>
        <w:t xml:space="preserve">$</w:t>
      </w:r>
      <w:r>
        <w:rPr>
          <w:rStyle w:val="NormalTok"/>
        </w:rPr>
        <w:t xml:space="preserve">a.P[, , </w:t>
      </w:r>
      <w:r>
        <w:rPr>
          <w:rStyle w:val="DecValTok"/>
        </w:rPr>
        <w:t xml:space="preserve">2</w:t>
      </w:r>
      <w:r>
        <w:rPr>
          <w:rStyle w:val="NormalTok"/>
        </w:rPr>
        <w:t xml:space="preserve">]) </w:t>
      </w:r>
      <w:r>
        <w:rPr>
          <w:rStyle w:val="CommentTok"/>
        </w:rPr>
        <w:t xml:space="preserve"># transition probability matrix for the first three cycles</w:t>
      </w:r>
    </w:p>
    <w:p>
      <w:pPr>
        <w:pStyle w:val="Compact"/>
      </w:pPr>
      <w:r>
        <w:t xml:space="preserve">H</w:t>
      </w:r>
    </w:p>
    <w:p>
      <w:pPr>
        <w:pStyle w:val="Compact"/>
      </w:pPr>
      <w:r>
        <w:t xml:space="preserve">S1</w:t>
      </w:r>
    </w:p>
    <w:p>
      <w:pPr>
        <w:pStyle w:val="Compact"/>
      </w:pPr>
      <w:r>
        <w:t xml:space="preserve">S2</w:t>
      </w:r>
    </w:p>
    <w:p>
      <w:pPr>
        <w:pStyle w:val="Compact"/>
      </w:pPr>
      <w:r>
        <w:t xml:space="preserve">D</w:t>
      </w:r>
    </w:p>
    <w:p>
      <w:pPr>
        <w:pStyle w:val="Compact"/>
      </w:pPr>
      <w:r>
        <w:t xml:space="preserve">H</w:t>
      </w:r>
    </w:p>
    <w:p>
      <w:pPr>
        <w:pStyle w:val="Compact"/>
      </w:pPr>
      <w:r>
        <w:t xml:space="preserve">0.8490015</w:t>
      </w:r>
    </w:p>
    <w:p>
      <w:pPr>
        <w:pStyle w:val="Compact"/>
      </w:pPr>
      <w:r>
        <w:t xml:space="preserve">0.1500000</w:t>
      </w:r>
    </w:p>
    <w:p>
      <w:pPr>
        <w:pStyle w:val="Compact"/>
      </w:pPr>
      <w:r>
        <w:t xml:space="preserve">0.0000000</w:t>
      </w:r>
    </w:p>
    <w:p>
      <w:pPr>
        <w:pStyle w:val="Compact"/>
      </w:pPr>
      <w:r>
        <w:t xml:space="preserve">0.0009985</w:t>
      </w:r>
    </w:p>
    <w:p>
      <w:pPr>
        <w:pStyle w:val="Compact"/>
      </w:pPr>
      <w:r>
        <w:t xml:space="preserve">S1</w:t>
      </w:r>
    </w:p>
    <w:p>
      <w:pPr>
        <w:pStyle w:val="Compact"/>
      </w:pPr>
      <w:r>
        <w:t xml:space="preserve">0.5000000</w:t>
      </w:r>
    </w:p>
    <w:p>
      <w:pPr>
        <w:pStyle w:val="Compact"/>
      </w:pPr>
      <w:r>
        <w:t xml:space="preserve">0.3920075</w:t>
      </w:r>
    </w:p>
    <w:p>
      <w:pPr>
        <w:pStyle w:val="Compact"/>
      </w:pPr>
      <w:r>
        <w:t xml:space="preserve">0.1050000</w:t>
      </w:r>
    </w:p>
    <w:p>
      <w:pPr>
        <w:pStyle w:val="Compact"/>
      </w:pPr>
      <w:r>
        <w:t xml:space="preserve">0.0029925</w:t>
      </w:r>
    </w:p>
    <w:p>
      <w:pPr>
        <w:pStyle w:val="Compact"/>
      </w:pPr>
      <w:r>
        <w:t xml:space="preserve">S2</w:t>
      </w:r>
    </w:p>
    <w:p>
      <w:pPr>
        <w:pStyle w:val="Compact"/>
      </w:pPr>
      <w:r>
        <w:t xml:space="preserve">0.0000000</w:t>
      </w:r>
    </w:p>
    <w:p>
      <w:pPr>
        <w:pStyle w:val="Compact"/>
      </w:pPr>
      <w:r>
        <w:t xml:space="preserve">0.0000000</w:t>
      </w:r>
    </w:p>
    <w:p>
      <w:pPr>
        <w:pStyle w:val="Compact"/>
      </w:pPr>
      <w:r>
        <w:t xml:space="preserve">0.9900597</w:t>
      </w:r>
    </w:p>
    <w:p>
      <w:pPr>
        <w:pStyle w:val="Compact"/>
      </w:pPr>
      <w:r>
        <w:t xml:space="preserve">0.0099403</w:t>
      </w:r>
    </w:p>
    <w:p>
      <w:pPr>
        <w:pStyle w:val="Compact"/>
      </w:pPr>
      <w:r>
        <w:t xml:space="preserve">D</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1.0000000</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(l.out.stm</w:t>
      </w:r>
      <w:r>
        <w:rPr>
          <w:rStyle w:val="OperatorTok"/>
        </w:rPr>
        <w:t xml:space="preserve">$</w:t>
      </w:r>
      <w:r>
        <w:rPr>
          <w:rStyle w:val="NormalTok"/>
        </w:rPr>
        <w:t xml:space="preserve">m.M))  </w:t>
      </w:r>
      <w:r>
        <w:rPr>
          <w:rStyle w:val="CommentTok"/>
        </w:rPr>
        <w:t xml:space="preserve"># </w:t>
      </w:r>
    </w:p>
    <w:p>
      <w:pPr>
        <w:pStyle w:val="Compact"/>
      </w:pPr>
      <w:r>
        <w:t xml:space="preserve">H</w:t>
      </w:r>
    </w:p>
    <w:p>
      <w:pPr>
        <w:pStyle w:val="Compact"/>
      </w:pPr>
      <w:r>
        <w:t xml:space="preserve">S1</w:t>
      </w:r>
    </w:p>
    <w:p>
      <w:pPr>
        <w:pStyle w:val="Compact"/>
      </w:pPr>
      <w:r>
        <w:t xml:space="preserve">S2</w:t>
      </w:r>
    </w:p>
    <w:p>
      <w:pPr>
        <w:pStyle w:val="Compact"/>
      </w:pPr>
      <w:r>
        <w:t xml:space="preserve">D</w:t>
      </w:r>
    </w:p>
    <w:p>
      <w:pPr>
        <w:pStyle w:val="Compact"/>
      </w:pPr>
      <w:r>
        <w:t xml:space="preserve">0</w:t>
      </w:r>
    </w:p>
    <w:p>
      <w:pPr>
        <w:pStyle w:val="Compact"/>
      </w:pPr>
      <w:r>
        <w:t xml:space="preserve">1.0000000</w:t>
      </w:r>
    </w:p>
    <w:p>
      <w:pPr>
        <w:pStyle w:val="Compact"/>
      </w:pPr>
      <w:r>
        <w:t xml:space="preserve">0.0000000</w:t>
      </w:r>
    </w:p>
    <w:p>
      <w:pPr>
        <w:pStyle w:val="Compact"/>
      </w:pPr>
      <w:r>
        <w:t xml:space="preserve">0.0000000</w:t>
      </w:r>
    </w:p>
    <w:p>
      <w:pPr>
        <w:pStyle w:val="Compact"/>
      </w:pPr>
      <w:r>
        <w:t xml:space="preserve">0.0000000</w:t>
      </w:r>
    </w:p>
    <w:p>
      <w:pPr>
        <w:pStyle w:val="Compact"/>
      </w:pPr>
      <w:r>
        <w:t xml:space="preserve">1</w:t>
      </w:r>
    </w:p>
    <w:p>
      <w:pPr>
        <w:pStyle w:val="Compact"/>
      </w:pPr>
      <w:r>
        <w:t xml:space="preserve">0.8489865</w:t>
      </w:r>
    </w:p>
    <w:p>
      <w:pPr>
        <w:pStyle w:val="Compact"/>
      </w:pPr>
      <w:r>
        <w:t xml:space="preserve">0.1500000</w:t>
      </w:r>
    </w:p>
    <w:p>
      <w:pPr>
        <w:pStyle w:val="Compact"/>
      </w:pPr>
      <w:r>
        <w:t xml:space="preserve">0.0000000</w:t>
      </w:r>
    </w:p>
    <w:p>
      <w:pPr>
        <w:pStyle w:val="Compact"/>
      </w:pPr>
      <w:r>
        <w:t xml:space="preserve">0.0010135</w:t>
      </w:r>
    </w:p>
    <w:p>
      <w:pPr>
        <w:pStyle w:val="Compact"/>
      </w:pPr>
      <w:r>
        <w:t xml:space="preserve">2</w:t>
      </w:r>
    </w:p>
    <w:p>
      <w:pPr>
        <w:pStyle w:val="Compact"/>
      </w:pPr>
      <w:r>
        <w:t xml:space="preserve">0.7957908</w:t>
      </w:r>
    </w:p>
    <w:p>
      <w:pPr>
        <w:pStyle w:val="Compact"/>
      </w:pPr>
      <w:r>
        <w:t xml:space="preserve">0.1861491</w:t>
      </w:r>
    </w:p>
    <w:p>
      <w:pPr>
        <w:pStyle w:val="Compact"/>
      </w:pPr>
      <w:r>
        <w:t xml:space="preserve">0.0157500</w:t>
      </w:r>
    </w:p>
    <w:p>
      <w:pPr>
        <w:pStyle w:val="Compact"/>
      </w:pPr>
      <w:r>
        <w:t xml:space="preserve">0.0023101</w:t>
      </w:r>
    </w:p>
    <w:p>
      <w:pPr>
        <w:pStyle w:val="Compact"/>
      </w:pPr>
      <w:r>
        <w:t xml:space="preserve">3</w:t>
      </w:r>
    </w:p>
    <w:p>
      <w:pPr>
        <w:pStyle w:val="Compact"/>
      </w:pPr>
      <w:r>
        <w:t xml:space="preserve">0.7686457</w:t>
      </w:r>
    </w:p>
    <w:p>
      <w:pPr>
        <w:pStyle w:val="Compact"/>
      </w:pPr>
      <w:r>
        <w:t xml:space="preserve">0.1923009</w:t>
      </w:r>
    </w:p>
    <w:p>
      <w:pPr>
        <w:pStyle w:val="Compact"/>
      </w:pPr>
      <w:r>
        <w:t xml:space="preserve">0.0351280</w:t>
      </w:r>
    </w:p>
    <w:p>
      <w:pPr>
        <w:pStyle w:val="Compact"/>
      </w:pPr>
      <w:r>
        <w:t xml:space="preserve">0.0039253</w:t>
      </w:r>
    </w:p>
    <w:p>
      <w:pPr>
        <w:pStyle w:val="Compact"/>
      </w:pPr>
      <w:r>
        <w:t xml:space="preserve">4</w:t>
      </w:r>
    </w:p>
    <w:p>
      <w:pPr>
        <w:pStyle w:val="Compact"/>
      </w:pPr>
      <w:r>
        <w:t xml:space="preserve">0.7486643</w:t>
      </w:r>
    </w:p>
    <w:p>
      <w:pPr>
        <w:pStyle w:val="Compact"/>
      </w:pPr>
      <w:r>
        <w:t xml:space="preserve">0.1906297</w:t>
      </w:r>
    </w:p>
    <w:p>
      <w:pPr>
        <w:pStyle w:val="Compact"/>
      </w:pPr>
      <w:r>
        <w:t xml:space="preserve">0.0549399</w:t>
      </w:r>
    </w:p>
    <w:p>
      <w:pPr>
        <w:pStyle w:val="Compact"/>
      </w:pPr>
      <w:r>
        <w:t xml:space="preserve">0.0057662</w:t>
      </w:r>
    </w:p>
    <w:p>
      <w:pPr>
        <w:pStyle w:val="Compact"/>
      </w:pPr>
      <w:r>
        <w:t xml:space="preserve">5</w:t>
      </w:r>
    </w:p>
    <w:p>
      <w:pPr>
        <w:pStyle w:val="Compact"/>
      </w:pPr>
      <w:r>
        <w:t xml:space="preserve">0.7308100</w:t>
      </w:r>
    </w:p>
    <w:p>
      <w:pPr>
        <w:pStyle w:val="Compact"/>
      </w:pPr>
      <w:r>
        <w:t xml:space="preserve">0.1869350</w:t>
      </w:r>
    </w:p>
    <w:p>
      <w:pPr>
        <w:pStyle w:val="Compact"/>
      </w:pPr>
      <w:r>
        <w:t xml:space="preserve">0.0743213</w:t>
      </w:r>
    </w:p>
    <w:p>
      <w:pPr>
        <w:pStyle w:val="Compact"/>
      </w:pPr>
      <w:r>
        <w:t xml:space="preserve">0.0079338</w:t>
      </w:r>
    </w:p>
    <w:p>
      <w:pPr>
        <w:pStyle w:val="SourceCode"/>
      </w:pPr>
      <w:r>
        <w:rPr>
          <w:rStyle w:val="KeywordTok"/>
        </w:rPr>
        <w:t xml:space="preserve">kable</w:t>
      </w:r>
      <w:r>
        <w:rPr>
          <w:rStyle w:val="NormalTok"/>
        </w:rPr>
        <w:t xml:space="preserve">(</w:t>
      </w:r>
      <w:r>
        <w:rPr>
          <w:rStyle w:val="KeywordTok"/>
        </w:rPr>
        <w:t xml:space="preserve">tail</w:t>
      </w:r>
      <w:r>
        <w:rPr>
          <w:rStyle w:val="NormalTok"/>
        </w:rPr>
        <w:t xml:space="preserve">(l.out.stm</w:t>
      </w:r>
      <w:r>
        <w:rPr>
          <w:rStyle w:val="OperatorTok"/>
        </w:rPr>
        <w:t xml:space="preserve">$</w:t>
      </w:r>
      <w:r>
        <w:rPr>
          <w:rStyle w:val="NormalTok"/>
        </w:rPr>
        <w:t xml:space="preserve">m.M))</w:t>
      </w:r>
    </w:p>
    <w:p>
      <w:pPr>
        <w:pStyle w:val="Compact"/>
      </w:pPr>
      <w:r>
        <w:t xml:space="preserve">H</w:t>
      </w:r>
    </w:p>
    <w:p>
      <w:pPr>
        <w:pStyle w:val="Compact"/>
      </w:pPr>
      <w:r>
        <w:t xml:space="preserve">S1</w:t>
      </w:r>
    </w:p>
    <w:p>
      <w:pPr>
        <w:pStyle w:val="Compact"/>
      </w:pPr>
      <w:r>
        <w:t xml:space="preserve">S2</w:t>
      </w:r>
    </w:p>
    <w:p>
      <w:pPr>
        <w:pStyle w:val="Compact"/>
      </w:pPr>
      <w:r>
        <w:t xml:space="preserve">D</w:t>
      </w:r>
    </w:p>
    <w:p>
      <w:pPr>
        <w:pStyle w:val="Compact"/>
      </w:pPr>
      <w:r>
        <w:t xml:space="preserve">70</w:t>
      </w:r>
    </w:p>
    <w:p>
      <w:pPr>
        <w:pStyle w:val="Compact"/>
      </w:pPr>
      <w:r>
        <w:t xml:space="preserve">0.0102898</w:t>
      </w:r>
    </w:p>
    <w:p>
      <w:pPr>
        <w:pStyle w:val="Compact"/>
      </w:pPr>
      <w:r>
        <w:t xml:space="preserve">0.0018634</w:t>
      </w:r>
    </w:p>
    <w:p>
      <w:pPr>
        <w:pStyle w:val="Compact"/>
      </w:pPr>
      <w:r>
        <w:t xml:space="preserve">0.0003173</w:t>
      </w:r>
    </w:p>
    <w:p>
      <w:pPr>
        <w:pStyle w:val="Compact"/>
      </w:pPr>
      <w:r>
        <w:t xml:space="preserve">0.9875295</w:t>
      </w:r>
    </w:p>
    <w:p>
      <w:pPr>
        <w:pStyle w:val="Compact"/>
      </w:pPr>
      <w:r>
        <w:t xml:space="preserve">71</w:t>
      </w:r>
    </w:p>
    <w:p>
      <w:pPr>
        <w:pStyle w:val="Compact"/>
      </w:pPr>
      <w:r>
        <w:t xml:space="preserve">0.0074521</w:t>
      </w:r>
    </w:p>
    <w:p>
      <w:pPr>
        <w:pStyle w:val="Compact"/>
      </w:pPr>
      <w:r>
        <w:t xml:space="preserve">0.0013130</w:t>
      </w:r>
    </w:p>
    <w:p>
      <w:pPr>
        <w:pStyle w:val="Compact"/>
      </w:pPr>
      <w:r>
        <w:t xml:space="preserve">0.0002234</w:t>
      </w:r>
    </w:p>
    <w:p>
      <w:pPr>
        <w:pStyle w:val="Compact"/>
      </w:pPr>
      <w:r>
        <w:t xml:space="preserve">0.9910115</w:t>
      </w:r>
    </w:p>
    <w:p>
      <w:pPr>
        <w:pStyle w:val="Compact"/>
      </w:pPr>
      <w:r>
        <w:t xml:space="preserve">72</w:t>
      </w:r>
    </w:p>
    <w:p>
      <w:pPr>
        <w:pStyle w:val="Compact"/>
      </w:pPr>
      <w:r>
        <w:t xml:space="preserve">0.0052899</w:t>
      </w:r>
    </w:p>
    <w:p>
      <w:pPr>
        <w:pStyle w:val="Compact"/>
      </w:pPr>
      <w:r>
        <w:t xml:space="preserve">0.0009270</w:t>
      </w:r>
    </w:p>
    <w:p>
      <w:pPr>
        <w:pStyle w:val="Compact"/>
      </w:pPr>
      <w:r>
        <w:t xml:space="preserve">0.0001546</w:t>
      </w:r>
    </w:p>
    <w:p>
      <w:pPr>
        <w:pStyle w:val="Compact"/>
      </w:pPr>
      <w:r>
        <w:t xml:space="preserve">0.9936285</w:t>
      </w:r>
    </w:p>
    <w:p>
      <w:pPr>
        <w:pStyle w:val="Compact"/>
      </w:pPr>
      <w:r>
        <w:t xml:space="preserve">73</w:t>
      </w:r>
    </w:p>
    <w:p>
      <w:pPr>
        <w:pStyle w:val="Compact"/>
      </w:pPr>
      <w:r>
        <w:t xml:space="preserve">0.0036370</w:t>
      </w:r>
    </w:p>
    <w:p>
      <w:pPr>
        <w:pStyle w:val="Compact"/>
      </w:pPr>
      <w:r>
        <w:t xml:space="preserve">0.0006236</w:t>
      </w:r>
    </w:p>
    <w:p>
      <w:pPr>
        <w:pStyle w:val="Compact"/>
      </w:pPr>
      <w:r>
        <w:t xml:space="preserve">0.0001060</w:t>
      </w:r>
    </w:p>
    <w:p>
      <w:pPr>
        <w:pStyle w:val="Compact"/>
      </w:pPr>
      <w:r>
        <w:t xml:space="preserve">0.9956333</w:t>
      </w:r>
    </w:p>
    <w:p>
      <w:pPr>
        <w:pStyle w:val="Compact"/>
      </w:pPr>
      <w:r>
        <w:t xml:space="preserve">74</w:t>
      </w:r>
    </w:p>
    <w:p>
      <w:pPr>
        <w:pStyle w:val="Compact"/>
      </w:pPr>
      <w:r>
        <w:t xml:space="preserve">0.0024167</w:t>
      </w:r>
    </w:p>
    <w:p>
      <w:pPr>
        <w:pStyle w:val="Compact"/>
      </w:pPr>
      <w:r>
        <w:t xml:space="preserve">0.0004096</w:t>
      </w:r>
    </w:p>
    <w:p>
      <w:pPr>
        <w:pStyle w:val="Compact"/>
      </w:pPr>
      <w:r>
        <w:t xml:space="preserve">0.0000700</w:t>
      </w:r>
    </w:p>
    <w:p>
      <w:pPr>
        <w:pStyle w:val="Compact"/>
      </w:pPr>
      <w:r>
        <w:t xml:space="preserve">0.9971037</w:t>
      </w:r>
    </w:p>
    <w:p>
      <w:pPr>
        <w:pStyle w:val="Compact"/>
      </w:pPr>
      <w:r>
        <w:t xml:space="preserve">75</w:t>
      </w:r>
    </w:p>
    <w:p>
      <w:pPr>
        <w:pStyle w:val="Compact"/>
      </w:pPr>
      <w:r>
        <w:t xml:space="preserve">0.0015639</w:t>
      </w:r>
    </w:p>
    <w:p>
      <w:pPr>
        <w:pStyle w:val="Compact"/>
      </w:pPr>
      <w:r>
        <w:t xml:space="preserve">0.0002628</w:t>
      </w:r>
    </w:p>
    <w:p>
      <w:pPr>
        <w:pStyle w:val="Compact"/>
      </w:pPr>
      <w:r>
        <w:t xml:space="preserve">0.0000454</w:t>
      </w:r>
    </w:p>
    <w:p>
      <w:pPr>
        <w:pStyle w:val="Compact"/>
      </w:pPr>
      <w:r>
        <w:t xml:space="preserve">0.9981279</w:t>
      </w:r>
    </w:p>
    <w:p>
      <w:pPr>
        <w:pStyle w:val="Heading3"/>
      </w:pPr>
      <w:bookmarkStart w:id="25" w:name="model-calibration"/>
      <w:bookmarkEnd w:id="25"/>
      <w:r>
        <w:t xml:space="preserve">03 Model calibration</w:t>
      </w:r>
    </w:p>
    <w:p>
      <w:pPr>
        <w:pStyle w:val="FirstParagraph"/>
      </w:pPr>
      <w:r>
        <w:t xml:space="preserve">The Sick-Sicker model results need to be calibrated against data containing information about survival, the prevalence of both sick and sicker and the proportion who are sick among those afflicted (sick and sicker). This data is stored in the 03_calibration-tarted.RData. The function to calibrate the model are stored in the 03_calibration_functions.R file stored in the functions folder. This file also contains a Goodness of fit function for calibration form a parameter set. The calibration function makes sure of the Nelder-Mead method.</w:t>
      </w:r>
    </w:p>
    <w:p>
      <w:pPr>
        <w:pStyle w:val="Heading3"/>
      </w:pPr>
      <w:bookmarkStart w:id="26" w:name="analysis"/>
      <w:bookmarkEnd w:id="26"/>
      <w:r>
        <w:t xml:space="preserve">04 Analysis</w:t>
      </w:r>
    </w:p>
    <w:p>
      <w:pPr>
        <w:pStyle w:val="Heading4"/>
      </w:pPr>
      <w:bookmarkStart w:id="27" w:name="a-validation"/>
      <w:bookmarkEnd w:id="27"/>
      <w:r>
        <w:t xml:space="preserve">04a Validation</w:t>
      </w:r>
    </w:p>
    <w:p>
      <w:pPr>
        <w:pStyle w:val="Heading4"/>
      </w:pPr>
      <w:bookmarkStart w:id="28" w:name="b-deterministic-analysis"/>
      <w:bookmarkEnd w:id="28"/>
      <w:r>
        <w:t xml:space="preserve">04b Deterministic analysis</w:t>
      </w:r>
    </w:p>
    <w:p>
      <w:pPr>
        <w:pStyle w:val="Heading4"/>
      </w:pPr>
      <w:bookmarkStart w:id="29" w:name="c-deterministic-analysis"/>
      <w:bookmarkEnd w:id="29"/>
      <w:r>
        <w:t xml:space="preserve">04c Deterministic analysis</w:t>
      </w:r>
    </w:p>
    <w:p>
      <w:pPr>
        <w:pStyle w:val="Heading3"/>
      </w:pPr>
      <w:bookmarkStart w:id="30" w:name="references"/>
      <w:bookmarkEnd w:id="30"/>
      <w:r>
        <w:t xml:space="preserve">References</w:t>
      </w:r>
    </w:p>
    <w:p>
      <w:pPr>
        <w:pStyle w:val="Bibliography"/>
      </w:pPr>
      <w:r>
        <w:t xml:space="preserve">Enns, E A, L E Cipriano, C T Simons, and C Y Kong. 2015. “Identifying Best-Fitting Inputs in Health-Economic Model Calibration: A Pareto Frontier Approach.”</w:t>
      </w:r>
      <w:r>
        <w:t xml:space="preserve"> </w:t>
      </w:r>
      <w:r>
        <w:rPr>
          <w:i/>
        </w:rPr>
        <w:t xml:space="preserve">Medical Decision Making</w:t>
      </w:r>
      <w:r>
        <w:t xml:space="preserve"> </w:t>
      </w:r>
      <w:r>
        <w:t xml:space="preserve">35 (2): 170–82. doi:</w:t>
      </w:r>
      <w:hyperlink r:id="rId31">
        <w:r>
          <w:rPr>
            <w:rStyle w:val="Hyperlink"/>
          </w:rPr>
          <w:t xml:space="preserve">10.1177/0272989X14528382</w:t>
        </w:r>
      </w:hyperlink>
      <w:r>
        <w:t xml:space="preserve">.</w:t>
      </w:r>
    </w:p>
    <w:p>
      <w:pPr>
        <w:pStyle w:val="Bibliography"/>
      </w:pPr>
      <w:r>
        <w:t xml:space="preserve">Krijkamp, Eline M., Fernando Alarid-Escudero, Eva A. Enns, Hawre J. Jalal, M G Myriam Hunink, and Petros Pechlivanoglou. 2018. “Microsimulation Modeling for Health Decision Sciences Using R: A Tutorial.”</w:t>
      </w:r>
      <w:r>
        <w:t xml:space="preserve"> </w:t>
      </w:r>
      <w:r>
        <w:rPr>
          <w:i/>
        </w:rPr>
        <w:t xml:space="preserve">Medical Decision Making : An International Journal of the Society for Medical Decision Making</w:t>
      </w:r>
      <w:r>
        <w:t xml:space="preserve"> </w:t>
      </w:r>
      <w:r>
        <w:t xml:space="preserve">38 (3): 400–422. doi:</w:t>
      </w:r>
      <w:hyperlink r:id="rId32">
        <w:r>
          <w:rPr>
            <w:rStyle w:val="Hyperlink"/>
          </w:rPr>
          <w:t xml:space="preserve">10.1177/0272989X18754513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47e6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31" Target="https://doi.org/10.1177/0272989X14528382" TargetMode="External" /><Relationship Type="http://schemas.openxmlformats.org/officeDocument/2006/relationships/hyperlink" Id="rId32" Target="https://doi.org/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177/0272989X14528382" TargetMode="External" /><Relationship Type="http://schemas.openxmlformats.org/officeDocument/2006/relationships/hyperlink" Id="rId32" Target="https://doi.org/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Sick-Sicker case study</dc:title>
  <dc:creator>DARTH workgroup</dc:creator>
  <dcterms:created xsi:type="dcterms:W3CDTF">2019-02-11T12:59:46Z</dcterms:created>
  <dcterms:modified xsi:type="dcterms:W3CDTF">2019-02-11T12:59:46Z</dcterms:modified>
</cp:coreProperties>
</file>