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4.png" ContentType="image/png"/>
  <Override PartName="/word/media/rId35.png" ContentType="image/png"/>
  <Override PartName="/word/media/rId33.png" ContentType="image/png"/>
  <Override PartName="/word/media/rId24.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Sick-Sicker</w:t>
      </w:r>
      <w:r>
        <w:t xml:space="preserve"> </w:t>
      </w:r>
      <w:r>
        <w:t xml:space="preserve">case</w:t>
      </w:r>
      <w:r>
        <w:t xml:space="preserve"> </w:t>
      </w:r>
      <w:r>
        <w:t xml:space="preserve">study</w:t>
      </w:r>
      <w:r>
        <w:t xml:space="preserve"> </w:t>
      </w:r>
      <w:r>
        <w:t xml:space="preserve">-</w:t>
      </w:r>
      <w:r>
        <w:t xml:space="preserve"> </w:t>
      </w:r>
      <w:r>
        <w:t xml:space="preserve">as</w:t>
      </w:r>
      <w:r>
        <w:t xml:space="preserve"> </w:t>
      </w:r>
      <w:r>
        <w:t xml:space="preserve">part</w:t>
      </w:r>
      <w:r>
        <w:t xml:space="preserve"> </w:t>
      </w:r>
      <w:r>
        <w:t xml:space="preserve">of</w:t>
      </w:r>
      <w:r>
        <w:t xml:space="preserve"> </w:t>
      </w:r>
      <w:r>
        <w:t xml:space="preserve">the</w:t>
      </w:r>
      <w:r>
        <w:t xml:space="preserve"> </w:t>
      </w:r>
      <w:r>
        <w:t xml:space="preserve">framework</w:t>
      </w:r>
      <w:r>
        <w:t xml:space="preserve"> </w:t>
      </w:r>
      <w:r>
        <w:t xml:space="preserve">paper</w:t>
      </w:r>
    </w:p>
    <w:p>
      <w:pPr>
        <w:pStyle w:val="Author"/>
      </w:pPr>
      <w:r>
        <w:t xml:space="preserve">DARTH</w:t>
      </w:r>
      <w:r>
        <w:t xml:space="preserve"> </w:t>
      </w:r>
      <w:r>
        <w:t xml:space="preserve">workgroup</w:t>
      </w:r>
    </w:p>
    <w:p>
      <w:pPr>
        <w:pStyle w:val="Date"/>
      </w:pPr>
      <w:r>
        <w:t xml:space="preserve">2019-02-27</w:t>
      </w:r>
    </w:p>
    <w:p>
      <w:pPr>
        <w:pStyle w:val="Heading2"/>
      </w:pPr>
      <w:bookmarkStart w:id="21" w:name="how-to-read-this-document"/>
      <w:bookmarkEnd w:id="21"/>
      <w:r>
        <w:t xml:space="preserve">How to read this document</w:t>
      </w:r>
    </w:p>
    <w:p>
      <w:pPr>
        <w:pStyle w:val="FirstParagraph"/>
      </w:pPr>
      <w:r>
        <w:t xml:space="preserve">This document is meant to guide you through the</w:t>
      </w:r>
      <w:r>
        <w:t xml:space="preserve"> </w:t>
      </w:r>
      <w:r>
        <w:rPr>
          <w:rStyle w:val="VerbatimChar"/>
        </w:rPr>
        <w:t xml:space="preserve">R</w:t>
      </w:r>
      <w:r>
        <w:t xml:space="preserve"> </w:t>
      </w:r>
      <w:r>
        <w:t xml:space="preserve">code of a full functional decision model, we use to showcase the DARTH framework described in the</w:t>
      </w:r>
      <w:r>
        <w:t xml:space="preserve"> </w:t>
      </w:r>
      <w:r>
        <w:rPr>
          <w:i/>
        </w:rPr>
        <w:t xml:space="preserve">A need for change! A coding framework for improving transparency in decision modeling</w:t>
      </w:r>
      <w:r>
        <w:t xml:space="preserve"> </w:t>
      </w:r>
      <w:r>
        <w:t xml:space="preserve">paper. This document is supportive material. Therefore, you are recommended to first read the paper itself before continue reading this file.</w:t>
      </w:r>
    </w:p>
    <w:p>
      <w:pPr>
        <w:pStyle w:val="BodyText"/>
      </w:pPr>
      <w:r>
        <w:t xml:space="preserve">In this case-study, we perform a cost-effectiveness analysis (CEA) using a previously published 4-state model called the Sick-Sicker model.</w:t>
      </w:r>
      <w:r>
        <w:t xml:space="preserve"> </w:t>
      </w:r>
      <w:r>
        <w:t xml:space="preserve">(Enns et al. 2015)</w:t>
      </w:r>
      <w:r>
        <w:t xml:space="preserve"> </w:t>
      </w:r>
      <w:r>
        <w:t xml:space="preserve">The code of this model is structured using the DARTH framework. This framework can be downloaded from the DARTH-git on GitHub (</w:t>
      </w:r>
      <w:hyperlink r:id="rId22">
        <w:r>
          <w:rPr>
            <w:rStyle w:val="Hyperlink"/>
          </w:rPr>
          <w:t xml:space="preserve">https://github.com/DARTH-git/Decision-Modeling-Framework</w:t>
        </w:r>
      </w:hyperlink>
      <w:r>
        <w:t xml:space="preserve">). We recommend downloading this complete framework as a .zip file containing all folders. Unzip the folder and save it on your computer. In this framework, you find multiple folders as described in Table 1 of the paper. We refer to the folders of this framework using</w:t>
      </w:r>
      <w:r>
        <w:t xml:space="preserve"> </w:t>
      </w:r>
      <w:r>
        <w:rPr>
          <w:i/>
        </w:rPr>
        <w:t xml:space="preserve">italic</w:t>
      </w:r>
      <w:r>
        <w:t xml:space="preserve"> </w:t>
      </w:r>
      <w:r>
        <w:t xml:space="preserve">style for their names. You probably found this markdown manuscript in the</w:t>
      </w:r>
      <w:r>
        <w:t xml:space="preserve"> </w:t>
      </w:r>
      <w:r>
        <w:rPr>
          <w:i/>
        </w:rPr>
        <w:t xml:space="preserve">manuscript</w:t>
      </w:r>
      <w:r>
        <w:t xml:space="preserve"> </w:t>
      </w:r>
      <w:r>
        <w:t xml:space="preserve">folder. Our figures can be found in the</w:t>
      </w:r>
      <w:r>
        <w:t xml:space="preserve"> </w:t>
      </w:r>
      <w:r>
        <w:rPr>
          <w:i/>
        </w:rPr>
        <w:t xml:space="preserve">figs</w:t>
      </w:r>
      <w:r>
        <w:t xml:space="preserve"> </w:t>
      </w:r>
      <w:r>
        <w:t xml:space="preserve">folder, data is the</w:t>
      </w:r>
      <w:r>
        <w:t xml:space="preserve"> </w:t>
      </w:r>
      <w:r>
        <w:rPr>
          <w:i/>
        </w:rPr>
        <w:t xml:space="preserve">data</w:t>
      </w:r>
      <w:r>
        <w:t xml:space="preserve"> </w:t>
      </w:r>
      <w:r>
        <w:t xml:space="preserve">folder and when we talk about functions, you can find them in the</w:t>
      </w:r>
      <w:r>
        <w:t xml:space="preserve"> </w:t>
      </w:r>
      <w:r>
        <w:rPr>
          <w:i/>
        </w:rPr>
        <w:t xml:space="preserve">functions</w:t>
      </w:r>
      <w:r>
        <w:t xml:space="preserve"> </w:t>
      </w:r>
      <w:r>
        <w:t xml:space="preserve">folder. All other</w:t>
      </w:r>
      <w:r>
        <w:t xml:space="preserve"> </w:t>
      </w:r>
      <w:r>
        <w:rPr>
          <w:rStyle w:val="VerbatimChar"/>
        </w:rPr>
        <w:t xml:space="preserve">R</w:t>
      </w:r>
      <w:r>
        <w:t xml:space="preserve"> </w:t>
      </w:r>
      <w:r>
        <w:t xml:space="preserve">files can be found in the</w:t>
      </w:r>
      <w:r>
        <w:t xml:space="preserve"> </w:t>
      </w:r>
      <w:r>
        <w:rPr>
          <w:i/>
        </w:rPr>
        <w:t xml:space="preserve">R</w:t>
      </w:r>
      <w:r>
        <w:t xml:space="preserve"> </w:t>
      </w:r>
      <w:r>
        <w:t xml:space="preserve">folder. In this document we refer a lot to the</w:t>
      </w:r>
      <w:r>
        <w:t xml:space="preserve"> </w:t>
      </w:r>
      <w:r>
        <w:rPr>
          <w:rStyle w:val="VerbatimChar"/>
        </w:rPr>
        <w:t xml:space="preserve">R</w:t>
      </w:r>
      <w:r>
        <w:t xml:space="preserve"> </w:t>
      </w:r>
      <w:r>
        <w:t xml:space="preserve">code but we do not always show all of this. Therefore, it is very useful to follow along while reading this document. To make sure you are able to run all code when folloing along, please first install all package we use by running the</w:t>
      </w:r>
      <w:r>
        <w:t xml:space="preserve"> </w:t>
      </w:r>
      <w:r>
        <w:rPr>
          <w:b/>
        </w:rPr>
        <w:t xml:space="preserve">00_general-setup.R</w:t>
      </w:r>
      <w:r>
        <w:t xml:space="preserve"> </w:t>
      </w:r>
      <w:r>
        <w:t xml:space="preserve">file in the</w:t>
      </w:r>
      <w:r>
        <w:t xml:space="preserve"> </w:t>
      </w:r>
      <w:r>
        <w:rPr>
          <w:rStyle w:val="VerbatimChar"/>
        </w:rPr>
        <w:t xml:space="preserve">R</w:t>
      </w:r>
      <w:r>
        <w:t xml:space="preserve"> </w:t>
      </w:r>
      <w:r>
        <w:t xml:space="preserve">folder.</w:t>
      </w:r>
    </w:p>
    <w:p>
      <w:pPr>
        <w:pStyle w:val="SourceCode"/>
      </w:pPr>
      <w:r>
        <w:rPr>
          <w:rStyle w:val="KeywordTok"/>
        </w:rPr>
        <w:t xml:space="preserve">source</w:t>
      </w:r>
      <w:r>
        <w:rPr>
          <w:rStyle w:val="NormalTok"/>
        </w:rPr>
        <w:t xml:space="preserve">(</w:t>
      </w:r>
      <w:r>
        <w:rPr>
          <w:rStyle w:val="StringTok"/>
        </w:rPr>
        <w:t xml:space="preserve">"R/app0_packages-setup.R"</w:t>
      </w:r>
      <w:r>
        <w:rPr>
          <w:rStyle w:val="NormalTok"/>
        </w:rPr>
        <w:t xml:space="preserve">)</w:t>
      </w:r>
    </w:p>
    <w:p>
      <w:pPr>
        <w:pStyle w:val="Heading2"/>
      </w:pPr>
      <w:bookmarkStart w:id="23" w:name="the-sick-sicker-model"/>
      <w:bookmarkEnd w:id="23"/>
      <w:r>
        <w:t xml:space="preserve">The Sick-Sicker model</w:t>
      </w:r>
    </w:p>
    <w:p>
      <w:pPr>
        <w:pStyle w:val="FirstParagraph"/>
      </w:pPr>
      <w:r>
        <w:t xml:space="preserve">In the Sick-Sicker model, a hypothetical disease affects individuals with an average age of 25 years and results in increased mortality, increased treatment costs and reduced quality of life (QoL). We simulate this hypothetical cohort of 25-year-old individuals over a lifetime (or reaching age 100 years old) using 75 annual cycles, represented with</w:t>
      </w:r>
      <w:r>
        <w:t xml:space="preserve"> </w:t>
      </w:r>
      <w:r>
        <w:rPr>
          <w:rStyle w:val="VerbatimChar"/>
        </w:rPr>
        <w:t xml:space="preserve">n.t</w:t>
      </w:r>
      <w:r>
        <w:t xml:space="preserve">. The cohort start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a constant probability in this case example. There is a chance that individuals in the Sick state eventually recover and return back to the Healthy healthy state. However, once an individual reaches the Sicker health state, they cannot recover; that is, the probability of transitioning to the Sick or Healthy health states from the Sicker health state is zero. Individuals in the Healthy state face background mortality that is age-specific (i.e., time-dependent). Sick and Sicker individuals face an increased mortality in the form of a hazard rate ratio (HR) of 3 and 10 times,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health 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quality adjusted life years (QALYs) are discounted at an annual rate of 0.03 %.</w:t>
      </w:r>
    </w:p>
    <w:p>
      <w:pPr>
        <w:pStyle w:val="FigureWithCaption"/>
      </w:pPr>
      <w:r>
        <w:drawing>
          <wp:inline>
            <wp:extent cx="4553712" cy="3145536"/>
            <wp:effectExtent b="0" l="0" r="0" t="0"/>
            <wp:docPr descr="State-transition diagram of the Sick-Sicker model. Healthy individuals can transition towards Sick, they can die or they can stay healthy. Sick individuals can recover, transitioning back to healthy, they can die, or they stay sick. Once individuals are Sicker, they stay Sicker until they die. " title="" id="1" name="Picture"/>
            <a:graphic>
              <a:graphicData uri="http://schemas.openxmlformats.org/drawingml/2006/picture">
                <pic:pic>
                  <pic:nvPicPr>
                    <pic:cNvPr descr="../figs/Sick-Sicker%20figure.png" id="0" name="Picture"/>
                    <pic:cNvPicPr>
                      <a:picLocks noChangeArrowheads="1" noChangeAspect="1"/>
                    </pic:cNvPicPr>
                  </pic:nvPicPr>
                  <pic:blipFill>
                    <a:blip r:embed="rId24"/>
                    <a:stretch>
                      <a:fillRect/>
                    </a:stretch>
                  </pic:blipFill>
                  <pic:spPr bwMode="auto">
                    <a:xfrm>
                      <a:off x="0" y="0"/>
                      <a:ext cx="4553712" cy="3145536"/>
                    </a:xfrm>
                    <a:prstGeom prst="rect">
                      <a:avLst/>
                    </a:prstGeom>
                    <a:noFill/>
                    <a:ln w="9525">
                      <a:noFill/>
                      <a:headEnd/>
                      <a:tailEnd/>
                    </a:ln>
                  </pic:spPr>
                </pic:pic>
              </a:graphicData>
            </a:graphic>
          </wp:inline>
        </w:drawing>
      </w:r>
    </w:p>
    <w:p>
      <w:pPr>
        <w:pStyle w:val="ImageCaption"/>
      </w:pPr>
      <w:r>
        <w:t xml:space="preserve">State-transition diagram of the Sick-Sicker model. Healthy individuals can transition towards Sick, they can die or they can stay healthy. Sick individuals can recover, transitioning back to healthy, they can die, or they stay sick. Once individuals are Sicker, they stay Sicker until they die.</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 To evaluate these two alternative strategies, we perform a cost-effectivenss analysis (CEA).</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 not easily distinguish those in the Sick state from the those in the Sicker state. Thus, we can not directly estimate state-specific mortality hazard rate ratios, nor do we know the transition probability of progressing from Sick to Sicker. Therefore, we calibrate the model to different epidemiological data. We internally validated the calibrated model by comparing the predicted outputs from the model evaluated at the calibrated parameters against the calibration targets.</w:t>
      </w:r>
    </w:p>
    <w:p>
      <w:pPr>
        <w:pStyle w:val="BodyText"/>
      </w:pPr>
      <w:r>
        <w:t xml:space="preserve">As part of the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 We also conducted a value of information (VOI) analysis to determine whether potential future research is needed to reduce parameter uncertainty. All steps of the CEA will be described using the different components of the framework.</w:t>
      </w:r>
    </w:p>
    <w:p>
      <w:pPr>
        <w:pStyle w:val="Heading3"/>
      </w:pPr>
      <w:bookmarkStart w:id="25" w:name="define-model-inputs"/>
      <w:bookmarkEnd w:id="25"/>
      <w:r>
        <w:t xml:space="preserve">01 Define model inputs</w:t>
      </w:r>
    </w:p>
    <w:p>
      <w:pPr>
        <w:pStyle w:val="FirstParagraph"/>
      </w:pPr>
      <w:r>
        <w:t xml:space="preserve">As described in the paper, in this component we declare all model input variables and set their values. The</w:t>
      </w:r>
      <w:r>
        <w:t xml:space="preserve"> </w:t>
      </w:r>
      <w:r>
        <w:rPr>
          <w:rStyle w:val="VerbatimChar"/>
        </w:rPr>
        <w:t xml:space="preserve">R</w:t>
      </w:r>
      <w:r>
        <w:t xml:space="preserve"> </w:t>
      </w:r>
      <w:r>
        <w:t xml:space="preserve">script running all components of this section is the</w:t>
      </w:r>
      <w:r>
        <w:t xml:space="preserve"> </w:t>
      </w:r>
      <w:r>
        <w:rPr>
          <w:b/>
        </w:rPr>
        <w:t xml:space="preserve">01_model-inputs.R</w:t>
      </w:r>
      <w:r>
        <w:t xml:space="preserve"> </w:t>
      </w:r>
      <w:r>
        <w:t xml:space="preserve">file in the</w:t>
      </w:r>
      <w:r>
        <w:t xml:space="preserve"> </w:t>
      </w:r>
      <w:r>
        <w:rPr>
          <w:rStyle w:val="VerbatimChar"/>
        </w:rPr>
        <w:t xml:space="preserve">R</w:t>
      </w:r>
      <w:r>
        <w:t xml:space="preserve"> </w:t>
      </w:r>
      <w:r>
        <w:t xml:space="preserve">folder.</w:t>
      </w:r>
    </w:p>
    <w:p>
      <w:pPr>
        <w:pStyle w:val="BodyText"/>
      </w:pPr>
      <w:r>
        <w:t xml:space="preserve">The input to inform the values is categorized in three categories: external, estimated, and calibrated. The majority of the Sick-Sicker model parameters are informed by external data. Only three parameter values need to be estimated using model calibration.</w:t>
      </w:r>
    </w:p>
    <w:p>
      <w:pPr>
        <w:pStyle w:val="BodyText"/>
      </w:pPr>
      <w:r>
        <w:t xml:space="preserve">In this component, we start with the general setup of the model, specifying among others the time horizon, number of health states, prevalence of the different health states at the start of the model and discount rates. The next step is to declare and inform the external parameter. The initial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the initial parameters with their</w:t>
      </w:r>
      <w:r>
        <w:t xml:space="preserve"> </w:t>
      </w:r>
      <w:r>
        <w:rPr>
          <w:rStyle w:val="VerbatimChar"/>
        </w:rPr>
        <w:t xml:space="preserve">R</w:t>
      </w:r>
      <w:r>
        <w:t xml:space="preserve"> </w:t>
      </w:r>
      <w:r>
        <w:t xml:space="preserve">name and value of the Sick-Sicker model.</w:t>
      </w:r>
    </w:p>
    <w:tbl>
      <w:tblPr>
        <w:tblStyle w:val="TableNormal"/>
        <w:tblW w:type="pct" w:w="0.0"/>
        <w:tblLook w:firstRow="1"/>
        <w:tblCaption w:val=" Description of the initial parameters with their R name and value of the Sick-Sicker model."/>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rate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rate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The all-cause mortality of healthy individuals is age specific and derived from the</w:t>
      </w:r>
      <w:r>
        <w:t xml:space="preserve"> </w:t>
      </w:r>
      <w:hyperlink r:id="rId26">
        <w:r>
          <w:rPr>
            <w:rStyle w:val="Hyperlink"/>
          </w:rPr>
          <w:t xml:space="preserve">Human Mortality database</w:t>
        </w:r>
      </w:hyperlink>
      <w:r>
        <w:t xml:space="preserve">. We use the age-, sex- and race- (ASR) specific mortality rates for the US population from 2015. This information is stored in the</w:t>
      </w:r>
      <w:r>
        <w:t xml:space="preserve"> </w:t>
      </w:r>
      <w:r>
        <w:rPr>
          <w:b/>
        </w:rPr>
        <w:t xml:space="preserve">01_all-cause-mortality-USA-2015.csv</w:t>
      </w:r>
      <w:r>
        <w:t xml:space="preserve"> </w:t>
      </w:r>
      <w:r>
        <w:t xml:space="preserve">file in the</w:t>
      </w:r>
      <w:r>
        <w:t xml:space="preserve"> </w:t>
      </w:r>
      <w:r>
        <w:rPr>
          <w:i/>
        </w:rPr>
        <w:t xml:space="preserve">data</w:t>
      </w:r>
      <w:r>
        <w:t xml:space="preserve"> </w:t>
      </w:r>
      <w:r>
        <w:t xml:space="preserve">folder, which we load into our</w:t>
      </w:r>
      <w:r>
        <w:t xml:space="preserve"> </w:t>
      </w:r>
      <w:r>
        <w:rPr>
          <w:rStyle w:val="VerbatimChar"/>
        </w:rPr>
        <w:t xml:space="preserve">R</w:t>
      </w:r>
      <w:r>
        <w:t xml:space="preserve"> </w:t>
      </w:r>
      <w:r>
        <w:t xml:space="preserve">environment.</w:t>
      </w:r>
    </w:p>
    <w:p>
      <w:pPr>
        <w:pStyle w:val="BodyText"/>
      </w:pPr>
      <w:r>
        <w:t xml:space="preserve">All other external parameter values are stored in the</w:t>
      </w:r>
      <w:r>
        <w:t xml:space="preserve"> </w:t>
      </w:r>
      <w:r>
        <w:rPr>
          <w:b/>
        </w:rPr>
        <w:t xml:space="preserve">01_init-params.csv</w:t>
      </w:r>
      <w:r>
        <w:t xml:space="preserve"> </w:t>
      </w:r>
      <w:r>
        <w:t xml:space="preserve">file in the</w:t>
      </w:r>
      <w:r>
        <w:t xml:space="preserve"> </w:t>
      </w:r>
      <w:r>
        <w:rPr>
          <w:i/>
        </w:rPr>
        <w:t xml:space="preserve">data</w:t>
      </w:r>
      <w:r>
        <w:t xml:space="preserve"> </w:t>
      </w:r>
      <w:r>
        <w:t xml:space="preserve">folder. Based on this file a</w:t>
      </w:r>
      <w:r>
        <w:t xml:space="preserve"> </w:t>
      </w:r>
      <w:r>
        <w:rPr>
          <w:rStyle w:val="VerbatimChar"/>
        </w:rPr>
        <w:t xml:space="preserve">R</w:t>
      </w:r>
      <w:r>
        <w:t xml:space="preserve"> </w:t>
      </w:r>
      <w:r>
        <w:t xml:space="preserve">data frame with the base-case parameters is generated by the</w:t>
      </w:r>
      <w:r>
        <w:t xml:space="preserve"> </w:t>
      </w:r>
      <w:r>
        <w:rPr>
          <w:rStyle w:val="VerbatimChar"/>
        </w:rPr>
        <w:t xml:space="preserve">f.generate_init_params</w:t>
      </w:r>
      <w:r>
        <w:t xml:space="preserve"> </w:t>
      </w:r>
      <w:r>
        <w:t xml:space="preserve">function. Using a function to create a basecase parameters dataframe might see complex, but it is important for the sensitivity analysis we will do in component 5 of the framework. Below we guide you through the components of the function.</w:t>
      </w:r>
    </w:p>
    <w:p>
      <w:pPr>
        <w:pStyle w:val="SourceCode"/>
      </w:pPr>
      <w:r>
        <w:rPr>
          <w:rStyle w:val="KeywordTok"/>
        </w:rPr>
        <w:t xml:space="preserve">print.function</w:t>
      </w:r>
      <w:r>
        <w:rPr>
          <w:rStyle w:val="NormalTok"/>
        </w:rPr>
        <w:t xml:space="preserve">(f.define_init_params) </w:t>
      </w:r>
      <w:r>
        <w:rPr>
          <w:rStyle w:val="CommentTok"/>
        </w:rPr>
        <w:t xml:space="preserve"># print the code of the function</w:t>
      </w:r>
    </w:p>
    <w:p>
      <w:pPr>
        <w:pStyle w:val="SourceCode"/>
      </w:pPr>
      <w:r>
        <w:rPr>
          <w:rStyle w:val="VerbatimChar"/>
        </w:rPr>
        <w:t xml:space="preserve">## function () </w:t>
      </w:r>
      <w:r>
        <w:br w:type="textWrapping"/>
      </w:r>
      <w:r>
        <w:rPr>
          <w:rStyle w:val="VerbatimChar"/>
        </w:rPr>
        <w:t xml:space="preserve">## {</w:t>
      </w:r>
      <w:r>
        <w:br w:type="textWrapping"/>
      </w:r>
      <w:r>
        <w:rPr>
          <w:rStyle w:val="VerbatimChar"/>
        </w:rPr>
        <w:t xml:space="preserve">##     df.params.init &lt;- read.csv(file = "data/01_init-params.csv")</w:t>
      </w:r>
      <w:r>
        <w:br w:type="textWrapping"/>
      </w:r>
      <w:r>
        <w:rPr>
          <w:rStyle w:val="VerbatimChar"/>
        </w:rPr>
        <w:t xml:space="preserve">##     df.params.init &lt;- data.frame(c.H = df.params.init$c.H, c.S1 = df.params.init$c.S1, </w:t>
      </w:r>
      <w:r>
        <w:br w:type="textWrapping"/>
      </w:r>
      <w:r>
        <w:rPr>
          <w:rStyle w:val="VerbatimChar"/>
        </w:rPr>
        <w:t xml:space="preserve">##         c.S2 = df.params.init$c.S2, c.D = df.params.init$c.D, </w:t>
      </w:r>
      <w:r>
        <w:br w:type="textWrapping"/>
      </w:r>
      <w:r>
        <w:rPr>
          <w:rStyle w:val="VerbatimChar"/>
        </w:rPr>
        <w:t xml:space="preserve">##         c.Trt = df.params.init$c.Trt, u.H = df.params.init$u.H, </w:t>
      </w:r>
      <w:r>
        <w:br w:type="textWrapping"/>
      </w:r>
      <w:r>
        <w:rPr>
          <w:rStyle w:val="VerbatimChar"/>
        </w:rPr>
        <w:t xml:space="preserve">##         u.S1 = df.params.init$u.S1, u.S2 = df.params.init$u.S2, </w:t>
      </w:r>
      <w:r>
        <w:br w:type="textWrapping"/>
      </w:r>
      <w:r>
        <w:rPr>
          <w:rStyle w:val="VerbatimChar"/>
        </w:rPr>
        <w:t xml:space="preserve">##         u.D = df.params.init$u.D, u.Trt = df.params.init$u.Trt, </w:t>
      </w:r>
      <w:r>
        <w:br w:type="textWrapping"/>
      </w:r>
      <w:r>
        <w:rPr>
          <w:rStyle w:val="VerbatimChar"/>
        </w:rPr>
        <w:t xml:space="preserve">##         p.HS1 = df.params.init$p.HS1, p.S1H = df.params.init$p.S1H, </w:t>
      </w:r>
      <w:r>
        <w:br w:type="textWrapping"/>
      </w:r>
      <w:r>
        <w:rPr>
          <w:rStyle w:val="VerbatimChar"/>
        </w:rPr>
        <w:t xml:space="preserve">##         p.S1S2 = df.params.init$p.S1S2, hr.S1 = df.params.init$hr.S1, </w:t>
      </w:r>
      <w:r>
        <w:br w:type="textWrapping"/>
      </w:r>
      <w:r>
        <w:rPr>
          <w:rStyle w:val="VerbatimChar"/>
        </w:rPr>
        <w:t xml:space="preserve">##         hr.S2 = df.params.init$hr.S2)</w:t>
      </w:r>
      <w:r>
        <w:br w:type="textWrapping"/>
      </w:r>
      <w:r>
        <w:rPr>
          <w:rStyle w:val="VerbatimChar"/>
        </w:rPr>
        <w:t xml:space="preserve">##     return(df.params.init)</w:t>
      </w:r>
      <w:r>
        <w:br w:type="textWrapping"/>
      </w:r>
      <w:r>
        <w:rPr>
          <w:rStyle w:val="VerbatimChar"/>
        </w:rPr>
        <w:t xml:space="preserve">## }</w:t>
      </w:r>
      <w:r>
        <w:br w:type="textWrapping"/>
      </w:r>
      <w:r>
        <w:rPr>
          <w:rStyle w:val="VerbatimChar"/>
        </w:rPr>
        <w:t xml:space="preserve">## &lt;bytecode: 0x7f87688b8ac0&gt;</w:t>
      </w:r>
    </w:p>
    <w:p>
      <w:pPr>
        <w:pStyle w:val="FirstParagraph"/>
      </w:pPr>
      <w:r>
        <w:t xml:space="preserve">In this code you can see that the functions start calling the .csv file and stores the values of the parameters. All of this is combined in a dataframe. The Sick-Sicker model does not have estimated parameters, but there are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w:t>
      </w:r>
    </w:p>
    <w:p>
      <w:pPr>
        <w:pStyle w:val="Heading3"/>
      </w:pPr>
      <w:bookmarkStart w:id="27" w:name="model-implementation"/>
      <w:bookmarkEnd w:id="27"/>
      <w:r>
        <w:t xml:space="preserve">02 Model implementation</w:t>
      </w:r>
    </w:p>
    <w:p>
      <w:pPr>
        <w:pStyle w:val="FirstParagraph"/>
      </w:pPr>
      <w:r>
        <w:t xml:space="preserve">In this component, we build the backbone of the decision analysis: the implementation of the model. This component is performed by the</w:t>
      </w:r>
      <w:r>
        <w:t xml:space="preserve"> </w:t>
      </w:r>
      <w:r>
        <w:rPr>
          <w:b/>
        </w:rPr>
        <w:t xml:space="preserve">02_simulation-model.R</w:t>
      </w:r>
      <w:r>
        <w:t xml:space="preserve"> </w:t>
      </w:r>
      <w:r>
        <w:t xml:space="preserve">script. This file itself is not very large. It is simpply loading some packages, sources the input from component 01, sources the function</w:t>
      </w:r>
      <w:r>
        <w:t xml:space="preserve"> </w:t>
      </w:r>
      <w:r>
        <w:rPr>
          <w:rStyle w:val="VerbatimChar"/>
        </w:rPr>
        <w:t xml:space="preserve">f.decision_model</w:t>
      </w:r>
      <w:r>
        <w:t xml:space="preserve"> </w:t>
      </w:r>
      <w:r>
        <w:t xml:space="preserve">that is used the capture the dynamic process of the Sick-Sicker example, runs this function and stores the output. The output of the model is the traditional cohort trace, describing how the cohort is distributed among the different health states over time. This trace will be used in many of the other component sections.</w:t>
      </w:r>
    </w:p>
    <w:p>
      <w:pPr>
        <w:pStyle w:val="BodyText"/>
      </w:pPr>
      <w:r>
        <w:t xml:space="preserve">The function</w:t>
      </w:r>
      <w:r>
        <w:t xml:space="preserve"> </w:t>
      </w:r>
      <w:r>
        <w:rPr>
          <w:rStyle w:val="VerbatimChar"/>
        </w:rPr>
        <w:t xml:space="preserve">f.decision_model</w:t>
      </w:r>
      <w:r>
        <w:t xml:space="preserve"> </w:t>
      </w:r>
      <w:r>
        <w:t xml:space="preserve">is generated in the</w:t>
      </w:r>
      <w:r>
        <w:t xml:space="preserve"> </w:t>
      </w:r>
      <w:r>
        <w:rPr>
          <w:b/>
        </w:rPr>
        <w:t xml:space="preserve">02_simulation-model_functions.R file</w:t>
      </w:r>
      <w:r>
        <w:t xml:space="preserv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of this section, we will describe the code of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(v.params) </w:t>
      </w:r>
      <w:r>
        <w:br w:type="textWrapping"/>
      </w:r>
      <w:r>
        <w:rPr>
          <w:rStyle w:val="VerbatimChar"/>
        </w:rPr>
        <w:t xml:space="preserve">## {</w:t>
      </w:r>
      <w:r>
        <w:br w:type="textWrapping"/>
      </w:r>
      <w:r>
        <w:rPr>
          <w:rStyle w:val="VerbatimChar"/>
        </w:rPr>
        <w:t xml:space="preserve">##     with(as.list(v.params), {</w:t>
      </w:r>
      <w:r>
        <w:br w:type="textWrapping"/>
      </w:r>
      <w:r>
        <w:rPr>
          <w:rStyle w:val="VerbatimChar"/>
        </w:rPr>
        <w:t xml:space="preserve">##         p.HDage &lt;- 1 - exp(-v.r.asr[(n.age.init + 1) + 0:(n.t - </w:t>
      </w:r>
      <w:r>
        <w:br w:type="textWrapping"/>
      </w:r>
      <w:r>
        <w:rPr>
          <w:rStyle w:val="VerbatimChar"/>
        </w:rPr>
        <w:t xml:space="preserve">##             1)])</w:t>
      </w:r>
      <w:r>
        <w:br w:type="textWrapping"/>
      </w:r>
      <w:r>
        <w:rPr>
          <w:rStyle w:val="VerbatimChar"/>
        </w:rPr>
        <w:t xml:space="preserve">##         p.S1Dage &lt;- 1 - exp(-v.r.asr[(n.age.init + 1) + 0:(n.t - </w:t>
      </w:r>
      <w:r>
        <w:br w:type="textWrapping"/>
      </w:r>
      <w:r>
        <w:rPr>
          <w:rStyle w:val="VerbatimChar"/>
        </w:rPr>
        <w:t xml:space="preserve">##             1)] * hr.S1)</w:t>
      </w:r>
      <w:r>
        <w:br w:type="textWrapping"/>
      </w:r>
      <w:r>
        <w:rPr>
          <w:rStyle w:val="VerbatimChar"/>
        </w:rPr>
        <w:t xml:space="preserve">##         p.S2Dage &lt;- 1 - exp(-v.r.asr[(n.age.init + 1) + 0:(n.t - </w:t>
      </w:r>
      <w:r>
        <w:br w:type="textWrapping"/>
      </w:r>
      <w:r>
        <w:rPr>
          <w:rStyle w:val="VerbatimChar"/>
        </w:rPr>
        <w:t xml:space="preserve">##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a.A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0x7f87689121c8&gt;</w:t>
      </w:r>
    </w:p>
    <w:p>
      <w:pPr>
        <w:pStyle w:val="FirstParagraph"/>
      </w:pPr>
      <w:r>
        <w:t xml:space="preserve">The</w:t>
      </w:r>
      <w:r>
        <w:t xml:space="preserve"> </w:t>
      </w:r>
      <w:r>
        <w:rPr>
          <w:rStyle w:val="VerbatimChar"/>
        </w:rPr>
        <w:t xml:space="preserve">f.decision_model</w:t>
      </w:r>
      <w:r>
        <w:t xml:space="preserve"> </w:t>
      </w:r>
      <w:r>
        <w:t xml:space="preserve">function is informed by the argument</w:t>
      </w:r>
      <w:r>
        <w:t xml:space="preserve"> </w:t>
      </w:r>
      <w:r>
        <w:rPr>
          <w:rStyle w:val="VerbatimChar"/>
        </w:rPr>
        <w:t xml:space="preserve">v.params</w:t>
      </w:r>
      <w:r>
        <w:t xml:space="preserve">. Via this</w:t>
      </w:r>
      <w:r>
        <w:t xml:space="preserve"> </w:t>
      </w:r>
      <w:r>
        <w:t xml:space="preserve">argument we specify the parameter values. Four our Sick-Sicker model, these parameters are stored in the dataframe</w:t>
      </w:r>
      <w:r>
        <w:t xml:space="preserve"> </w:t>
      </w:r>
      <w:r>
        <w:rPr>
          <w:rStyle w:val="VerbatimChar"/>
        </w:rPr>
        <w:t xml:space="preserve">df.params</w:t>
      </w:r>
      <w:r>
        <w:t xml:space="preserve">, which we passed into the function as shown below.</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v.params =</w:t>
      </w:r>
      <w:r>
        <w:rPr>
          <w:rStyle w:val="NormalTok"/>
        </w:rPr>
        <w:t xml:space="preserve"> df.params.init) </w:t>
      </w:r>
      <w:r>
        <w:rPr>
          <w:rStyle w:val="CommentTok"/>
        </w:rPr>
        <w:t xml:space="preserve"># run the function</w:t>
      </w:r>
    </w:p>
    <w:p>
      <w:pPr>
        <w:pStyle w:val="FirstParagraph"/>
      </w:pPr>
      <w:r>
        <w:t xml:space="preserve">You probably noticed that the prefix of the argument is telling us it has to be a vector, while we pass a dataframe into the function. This is totally fine. The function is able to deal with both vectors, usefull for small models, as well as dataframes, when you have more parameter info.</w:t>
      </w:r>
    </w:p>
    <w:p>
      <w:pPr>
        <w:pStyle w:val="BodyText"/>
      </w:pPr>
      <w:r>
        <w:t xml:space="preserve">The functions starts with calculating the age-specific transition probabilities based on the rates in the data frame. This means that the parameters will become vectors of length</w:t>
      </w:r>
      <w:r>
        <w:t xml:space="preserve"> </w:t>
      </w:r>
      <w:r>
        <w:rPr>
          <w:rStyle w:val="VerbatimChar"/>
        </w:rPr>
        <w:t xml:space="preserve">n.t</w:t>
      </w:r>
      <w:r>
        <w:t xml:space="preserve">, describing the probability do die for all ages.</w:t>
      </w:r>
    </w:p>
    <w:p>
      <w:pPr>
        <w:pStyle w:val="BodyText"/>
      </w:pPr>
      <w:r>
        <w:t xml:space="preserve">The next part of the function, creates the age-specific transition probability matrices in an array. The transition probability matrices a core component of a state-transition cohort model. This matrix contains the probabilities of transitioning from the current health state, indicated by the rows, towards the new health states, specified in the columns. More information about creating these matrices is described in a paper about State-transition models using R</w:t>
      </w:r>
      <w:r>
        <w:t xml:space="preserve"> </w:t>
      </w:r>
      <w:r>
        <w:t xml:space="preserve">(F Alarid-Escudero et al. 2018)</w:t>
      </w:r>
      <w:r>
        <w:t xml:space="preserve">. Since we have age specific transition probabilities, the transition probability matrix is different each cycle. Since these probabilities are only depending on the age of the cohort, and not on other events, we can generate all matrices at the start of the model. This results</w:t>
      </w:r>
      <w:r>
        <w:t xml:space="preserve"> </w:t>
      </w:r>
      <w:r>
        <w:rPr>
          <w:rStyle w:val="VerbatimChar"/>
        </w:rPr>
        <w:t xml:space="preserve">n.t</w:t>
      </w:r>
      <w:r>
        <w:t xml:space="preserve"> </w:t>
      </w:r>
      <w:r>
        <w:t xml:space="preserve">matrices that we will store in an array, called</w:t>
      </w:r>
      <w:r>
        <w:t xml:space="preserve"> </w:t>
      </w:r>
      <w:r>
        <w:rPr>
          <w:rStyle w:val="VerbatimChar"/>
        </w:rPr>
        <w:t xml:space="preserve">a.P</w:t>
      </w:r>
      <w:r>
        <w:t xml:space="preserve">,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 After initiation this array the array is filled based on the parameter values stored in the dataframe. When running the model, we can index the correct transition probability matrix corresponding with the current age of the cohort. The make sure we are using correct values, the functions include some code to check if both the transition probabilities them self, as well as the transition probability matrices are valid. The first three time-points of the probability array, as well as for the last cycle, are shown below.</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Comparing these probability matrices, shows you the increased probabilities of transitioning to death form all health states towards the end.</w:t>
      </w:r>
    </w:p>
    <w:p>
      <w:pPr>
        <w:pStyle w:val="BodyText"/>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initiated.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 specific transition probability matrix indexed from array</w:t>
      </w:r>
      <w:r>
        <w:t xml:space="preserve"> </w:t>
      </w:r>
      <w:r>
        <w:rPr>
          <w:rStyle w:val="VerbatimChar"/>
        </w:rPr>
        <w:t xml:space="preserve">a.P</w:t>
      </w:r>
      <w:r>
        <w:t xml:space="preserve">. The model results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Via the code below, we can graphically show the model dynamics by plotting the cohort trace. This Figure 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9" w:name="model-calibration"/>
      <w:bookmarkEnd w:id="29"/>
      <w:r>
        <w:t xml:space="preserve">03 Model calibration</w:t>
      </w:r>
    </w:p>
    <w:p>
      <w:pPr>
        <w:pStyle w:val="FirstParagraph"/>
      </w:pPr>
      <w:r>
        <w:t xml:space="preserve">In this component, unknown or highly uncertain model parameters are estimated by calibrating model outputs to match specified calibration targets. This proces is executed by the</w:t>
      </w:r>
      <w:r>
        <w:t xml:space="preserve"> </w:t>
      </w:r>
      <w:r>
        <w:rPr>
          <w:i/>
        </w:rPr>
        <w:t xml:space="preserve">03_calibration.R</w:t>
      </w:r>
      <w:r>
        <w:t xml:space="preserve"> </w:t>
      </w:r>
      <w:r>
        <w:t xml:space="preserve">file. The target data is stored in the</w:t>
      </w:r>
      <w:r>
        <w:t xml:space="preserve"> </w:t>
      </w:r>
      <w:r>
        <w:rPr>
          <w:i/>
        </w:rPr>
        <w:t xml:space="preserve">03_calibration-targets.RData</w:t>
      </w:r>
      <w:r>
        <w:t xml:space="preserve"> </w:t>
      </w:r>
      <w:r>
        <w:t xml:space="preserve">file. The</w:t>
      </w:r>
      <w:r>
        <w:t xml:space="preserve"> </w:t>
      </w:r>
      <w:r>
        <w:rPr>
          <w:i/>
        </w:rPr>
        <w:t xml:space="preserve">03_calibration.R</w:t>
      </w:r>
      <w:r>
        <w:t xml:space="preserve"> </w:t>
      </w:r>
      <w:r>
        <w:t xml:space="preserve">file include much more code compared to the</w:t>
      </w:r>
      <w:r>
        <w:t xml:space="preserve"> </w:t>
      </w:r>
      <w:r>
        <w:rPr>
          <w:rStyle w:val="VerbatimChar"/>
        </w:rPr>
        <w:t xml:space="preserve">R</w:t>
      </w:r>
      <w:r>
        <w:t xml:space="preserve"> </w:t>
      </w:r>
      <w:r>
        <w:t xml:space="preserve">scripts of the previous components. Like in compontent 02, we start with loading inputs and functions. In addition, we load the calibration targets data into the</w:t>
      </w:r>
      <w:r>
        <w:t xml:space="preserve"> </w:t>
      </w:r>
      <w:r>
        <w:rPr>
          <w:rStyle w:val="VerbatimChar"/>
        </w:rPr>
        <w:t xml:space="preserve">R</w:t>
      </w:r>
      <w:r>
        <w:t xml:space="preserve"> </w:t>
      </w:r>
      <w:r>
        <w:t xml:space="preserve">environment. In the next section,</w:t>
      </w:r>
      <w:r>
        <w:t xml:space="preserve"> </w:t>
      </w:r>
      <w:r>
        <w:rPr>
          <w:b/>
        </w:rPr>
        <w:t xml:space="preserve">03.2 Visualize targets</w:t>
      </w:r>
      <w:r>
        <w:t xml:space="preserve">, we create a graph for each of our targets, survival, prevalence and the proportion who are Sicker, among all those afflicted (Sick+Sicker).</w:t>
      </w:r>
    </w:p>
    <w:p>
      <w:pPr>
        <w:pStyle w:val="BodyText"/>
      </w:pPr>
      <w:r>
        <w:t xml:space="preserve">In section</w:t>
      </w:r>
      <w:r>
        <w:t xml:space="preserve"> </w:t>
      </w:r>
      <w:r>
        <w:rPr>
          <w:b/>
        </w:rPr>
        <w:t xml:space="preserve">03.3 Run calibration algorithms</w:t>
      </w:r>
      <w:r>
        <w:t xml:space="preserve"> </w:t>
      </w:r>
      <w:r>
        <w:t xml:space="preserve">we set the parameters we like to calibrate to fixed values and tast if our functions performing the calibrations, called</w:t>
      </w:r>
      <w:r>
        <w:t xml:space="preserve"> </w:t>
      </w:r>
      <w:r>
        <w:rPr>
          <w:rStyle w:val="VerbatimChar"/>
        </w:rPr>
        <w:t xml:space="preserve">f.calibration_out</w:t>
      </w:r>
      <w:r>
        <w:t xml:space="preserve"> </w:t>
      </w:r>
      <w:r>
        <w:t xml:space="preserve">works.</w:t>
      </w:r>
    </w:p>
    <w:p>
      <w:pPr>
        <w:pStyle w:val="SourceCode"/>
      </w:pPr>
      <w:r>
        <w:rPr>
          <w:rStyle w:val="KeywordTok"/>
        </w:rPr>
        <w:t xml:space="preserve">print.function</w:t>
      </w:r>
      <w:r>
        <w:rPr>
          <w:rStyle w:val="NormalTok"/>
        </w:rPr>
        <w:t xml:space="preserve">(f.calibration_out) </w:t>
      </w:r>
      <w:r>
        <w:rPr>
          <w:rStyle w:val="CommentTok"/>
        </w:rPr>
        <w:t xml:space="preserve"># print the funtions</w:t>
      </w:r>
    </w:p>
    <w:p>
      <w:pPr>
        <w:pStyle w:val="SourceCode"/>
      </w:pPr>
      <w:r>
        <w:rPr>
          <w:rStyle w:val="VerbatimChar"/>
        </w:rPr>
        <w:t xml:space="preserve">## function (v.params.calib) </w:t>
      </w:r>
      <w:r>
        <w:br w:type="textWrapping"/>
      </w:r>
      <w:r>
        <w:rPr>
          <w:rStyle w:val="VerbatimChar"/>
        </w:rPr>
        <w:t xml:space="preserve">## {</w:t>
      </w:r>
      <w:r>
        <w:br w:type="textWrapping"/>
      </w:r>
      <w:r>
        <w:rPr>
          <w:rStyle w:val="VerbatimChar"/>
        </w:rPr>
        <w:t xml:space="preserve">##     v.params &lt;- df.params.init</w:t>
      </w:r>
      <w:r>
        <w:br w:type="textWrapping"/>
      </w:r>
      <w:r>
        <w:rPr>
          <w:rStyle w:val="VerbatimChar"/>
        </w:rPr>
        <w:t xml:space="preserve">##     v.params["p.S1S2"] &lt;- v.params.calib["p.S1S2"]</w:t>
      </w:r>
      <w:r>
        <w:br w:type="textWrapping"/>
      </w:r>
      <w:r>
        <w:rPr>
          <w:rStyle w:val="VerbatimChar"/>
        </w:rPr>
        <w:t xml:space="preserve">##     v.params["hr.S1"] &lt;- v.params.calib["hr.S1"]</w:t>
      </w:r>
      <w:r>
        <w:br w:type="textWrapping"/>
      </w:r>
      <w:r>
        <w:rPr>
          <w:rStyle w:val="VerbatimChar"/>
        </w:rPr>
        <w:t xml:space="preserve">##     v.params["hr.S2"] &lt;- v.params.calib["hr.S2"]</w:t>
      </w:r>
      <w:r>
        <w:br w:type="textWrapping"/>
      </w:r>
      <w:r>
        <w:rPr>
          <w:rStyle w:val="VerbatimChar"/>
        </w:rPr>
        <w:t xml:space="preserve">##     l.out.stm &lt;- f.decision_model(v.params = v.params)</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one argument,</w:t>
      </w:r>
      <w:r>
        <w:t xml:space="preserve"> </w:t>
      </w:r>
      <w:r>
        <w:rPr>
          <w:rStyle w:val="VerbatimChar"/>
        </w:rPr>
        <w:t xml:space="preserve">v.params.calib</w:t>
      </w:r>
      <w:r>
        <w:t xml:space="preserve">. This vector contains the values of the three parameters of interest. The placeholder values are replaced by these values 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With this new output, the epidemiological output, overal survial, disease prevalence and the proportion of sick in the sick and sicker state are calculated. The estimated values for these epidemiological outcomes at different timepoints are combined in a list, called</w:t>
      </w:r>
      <w:r>
        <w:t xml:space="preserve"> </w:t>
      </w:r>
      <w:r>
        <w:rPr>
          <w:rStyle w:val="VerbatimChar"/>
        </w:rPr>
        <w:t xml:space="preserve">l.out</w:t>
      </w:r>
      <w:r>
        <w:t xml:space="preserve">. This is the output from the</w:t>
      </w:r>
      <w:r>
        <w:t xml:space="preserve"> </w:t>
      </w:r>
      <w:r>
        <w:rPr>
          <w:rStyle w:val="VerbatimChar"/>
        </w:rPr>
        <w:t xml:space="preserve">f.calibration_out</w:t>
      </w:r>
      <w:r>
        <w:t xml:space="preserve"> </w:t>
      </w:r>
      <w:r>
        <w:t xml:space="preserve">function.</w:t>
      </w:r>
    </w:p>
    <w:p>
      <w:pPr>
        <w:pStyle w:val="BodyText"/>
      </w:pPr>
      <w:r>
        <w:t xml:space="preserve">Now we know our code works, we specify our calibration paratmers in section</w:t>
      </w:r>
      <w:r>
        <w:t xml:space="preserve"> </w:t>
      </w:r>
      <w:r>
        <w:rPr>
          <w:b/>
        </w:rPr>
        <w:t xml:space="preserve">03.3.1</w:t>
      </w:r>
      <w:r>
        <w:t xml:space="preserve">. This includes setting the see, specifying the number of random samples, the name of the input paramters and most important, the range on input search spaces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w:t>
      </w:r>
      <w:r>
        <w:t xml:space="preserve"> </w:t>
      </w:r>
      <w:r>
        <w:rPr>
          <w:b/>
        </w:rPr>
        <w:t xml:space="preserve">03.3.2</w:t>
      </w:r>
      <w:r>
        <w:t xml:space="preserve">, to calibrate the Sick-Sicker model, we use a Bayesian approach using the incremental mixture importance sampling (IMIS) algorithm [Teele2006], which has been used to calibrate health policy models</w:t>
      </w:r>
      <w:r>
        <w:t xml:space="preserve"> </w:t>
      </w:r>
      <w:r>
        <w:t xml:space="preserve">(Raftery2010, Menzies, Pandya, and Kim 2017, Rutter2018)</w:t>
      </w:r>
      <w:r>
        <w:t xml:space="preserve">. Bayesian methods allow us to quantify the uncertainty in the calibrated parameters even in the presence of non-identifiability</w:t>
      </w:r>
      <w:r>
        <w:t xml:space="preserve"> </w:t>
      </w:r>
      <w:r>
        <w:t xml:space="preserve">(Fernando Alarid-Escudero et al. 2018)</w:t>
      </w:r>
      <w:r>
        <w:t xml:space="preserve">. We assumed a normal likelihood and uniform priors. For a more detailed description of IMIS for Bayesian calibration, different likelihood functions and prior distributions, we refer the reader to the tutorial for Bayesian calibration by Menzies et al.</w:t>
      </w:r>
      <w:r>
        <w:t xml:space="preserve"> </w:t>
      </w:r>
      <w:r>
        <w:t xml:space="preserve">(Menzies, Pandya, and Kim 2017)</w:t>
      </w:r>
      <w:r>
        <w:t xml:space="preserve">. We use the</w:t>
      </w:r>
      <w:r>
        <w:t xml:space="preserve"> </w:t>
      </w:r>
      <w:r>
        <w:rPr>
          <w:rStyle w:val="VerbatimChar"/>
        </w:rPr>
        <w:t xml:space="preserve">IMIS</w:t>
      </w:r>
      <w:r>
        <w:t xml:space="preserve"> </w:t>
      </w:r>
      <w:r>
        <w:t xml:space="preserve">function from the likenames package that</w:t>
      </w:r>
      <w:r>
        <w:t xml:space="preserve"> </w:t>
      </w:r>
      <w:r>
        <w:t xml:space="preserve">is calling the functions</w:t>
      </w:r>
      <w:r>
        <w:t xml:space="preserve"> </w:t>
      </w:r>
      <w:r>
        <w:rPr>
          <w:rStyle w:val="VerbatimChar"/>
        </w:rPr>
        <w:t xml:space="preserve">f.log_lik</w:t>
      </w:r>
      <w:r>
        <w:t xml:space="preserve">,</w:t>
      </w:r>
      <w:r>
        <w:t xml:space="preserve"> </w:t>
      </w:r>
      <w:r>
        <w:rPr>
          <w:rStyle w:val="VerbatimChar"/>
        </w:rPr>
        <w:t xml:space="preserve">likelihood</w:t>
      </w:r>
      <w:r>
        <w:t xml:space="preserve">,</w:t>
      </w:r>
      <w:r>
        <w:t xml:space="preserve"> </w:t>
      </w:r>
      <w:r>
        <w:rPr>
          <w:rStyle w:val="VerbatimChar"/>
        </w:rPr>
        <w:t xml:space="preserve">sample.prior</w:t>
      </w:r>
      <w:r>
        <w:t xml:space="preserve">,</w:t>
      </w:r>
      <w:r>
        <w:t xml:space="preserve"> </w:t>
      </w:r>
      <w:r>
        <w:rPr>
          <w:rStyle w:val="VerbatimChar"/>
        </w:rPr>
        <w:t xml:space="preserve">f.log_prior</w:t>
      </w:r>
      <w:r>
        <w:t xml:space="preserve"> </w:t>
      </w:r>
      <w:r>
        <w:t xml:space="preserve">and</w:t>
      </w:r>
      <w:r>
        <w:t xml:space="preserve"> </w:t>
      </w:r>
      <w:r>
        <w:rPr>
          <w:rStyle w:val="VerbatimChar"/>
        </w:rPr>
        <w:t xml:space="preserve">prior</w:t>
      </w:r>
      <w:r>
        <w:t xml:space="preserve">, that are specified in the</w:t>
      </w:r>
      <w:r>
        <w:t xml:space="preserve"> </w:t>
      </w:r>
      <w:r>
        <w:rPr>
          <w:rStyle w:val="VerbatimChar"/>
        </w:rPr>
        <w:t xml:space="preserve">03_calibration_functions.R</w:t>
      </w:r>
      <w:r>
        <w:t xml:space="preserve"> </w:t>
      </w:r>
      <w:r>
        <w:t xml:space="preserve">file, to draw samples from the the posterior distribution of multivariate variable. We respectively specify the incremental sample size at each iteration of IMIS, the desired posterior sample size at the resample stage, the maximum number of iterations in IMIS and the number of optimizers which could be 0. The function returns a list, which we called</w:t>
      </w:r>
      <w:r>
        <w:t xml:space="preserve"> </w:t>
      </w:r>
      <w:r>
        <w:rPr>
          <w:rStyle w:val="VerbatimChar"/>
        </w:rPr>
        <w:t xml:space="preserve">l.fit.imis</w:t>
      </w:r>
      <w:r>
        <w:t xml:space="preserve">, with the posterior resamples, the diagnostic statistics at each IMIS iteration and the centers of Gaussian components</w:t>
      </w:r>
      <w:r>
        <w:t xml:space="preserve"> </w:t>
      </w:r>
      <w:r>
        <w:t xml:space="preserve">(Raftery and Le Bao 2012)</w:t>
      </w:r>
      <w:r>
        <w:t xml:space="preserve">. We store the posterior resamples in the matrix</w:t>
      </w:r>
      <w:r>
        <w:t xml:space="preserve"> </w:t>
      </w:r>
      <w:r>
        <w:rPr>
          <w:rStyle w:val="VerbatimChar"/>
        </w:rPr>
        <w:t xml:space="preserve">m.calib.post</w:t>
      </w:r>
      <w:r>
        <w:t xml:space="preserve">.</w:t>
      </w:r>
    </w:p>
    <w:p>
      <w:pPr>
        <w:pStyle w:val="BodyText"/>
      </w:pPr>
      <w:r>
        <w:t xml:space="preserve">Now we start exploring this posterior distribution in section</w:t>
      </w:r>
      <w:r>
        <w:t xml:space="preserve"> </w:t>
      </w:r>
      <w:r>
        <w:rPr>
          <w:b/>
        </w:rPr>
        <w:t xml:space="preserve">03.4</w:t>
      </w:r>
      <w:r>
        <w:t xml:space="preserve">. From this data, we compute the posterior mean, median and 95% credible interval, mode and maximum-a-posteriori (MAP). All for these summary statistics are combined in a dataframe called,</w:t>
      </w:r>
      <w:r>
        <w:t xml:space="preserve"> </w:t>
      </w:r>
      <w:r>
        <w:rPr>
          <w:rStyle w:val="VerbatimChar"/>
        </w:rPr>
        <w:t xml:space="preserve">df.posterior.summ</w:t>
      </w:r>
      <w:r>
        <w:t xml:space="preserve">.</w:t>
      </w:r>
    </w:p>
    <w:p>
      <w:pPr>
        <w:pStyle w:val="BodyText"/>
      </w:pPr>
      <w:r>
        <w:t xml:space="preserve">Interpreting these statistics is quite hard and works much better via a graphs. Section</w:t>
      </w:r>
      <w:r>
        <w:t xml:space="preserve"> </w:t>
      </w:r>
      <w:r>
        <w:rPr>
          <w:b/>
        </w:rPr>
        <w:t xml:space="preserve">03.4.2</w:t>
      </w:r>
      <w:r>
        <w:t xml:space="preserve"> </w:t>
      </w:r>
      <w:r>
        <w:t xml:space="preserve">generates a visualization of the posterior distribution. These figures are save in the</w:t>
      </w:r>
      <w:r>
        <w:t xml:space="preserve"> </w:t>
      </w:r>
      <w:r>
        <w:rPr>
          <w:i/>
        </w:rPr>
        <w:t xml:space="preserve">figures</w:t>
      </w:r>
      <w:r>
        <w:t xml:space="preserve"> </w:t>
      </w:r>
      <w:r>
        <w:t xml:space="preserve">folder.</w:t>
      </w:r>
    </w:p>
    <w:p>
      <w:pPr>
        <w:pStyle w:val="FigureWithCaption"/>
      </w:pPr>
      <w:r>
        <w:drawing>
          <wp:inline>
            <wp:extent cx="5334000" cy="4000499"/>
            <wp:effectExtent b="0" l="0" r="0" t="0"/>
            <wp:docPr descr="Posterior distribution joint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Posterior distribution joint</w:t>
      </w:r>
      <w:r>
        <w:t xml:space="preserve"> </w:t>
      </w:r>
    </w:p>
    <w:p>
      <w:pPr>
        <w:pStyle w:val="BodyText"/>
      </w:pPr>
      <w:r>
        <w:drawing>
          <wp:inline>
            <wp:extent cx="5334000" cy="4000499"/>
            <wp:effectExtent b="0" l="0" r="0" t="0"/>
            <wp:docPr descr="Posterior distribution marginal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t xml:space="preserve">[HOW DO WE INTERPRET THESE FIGURES?]</w:t>
      </w:r>
    </w:p>
    <w:p>
      <w:pPr>
        <w:pStyle w:val="BodyText"/>
      </w:pPr>
      <w:r>
        <w:t xml:space="preserve">Finally, the posterior and MAP from the IMIS calibration are stored in the file</w:t>
      </w:r>
      <w:r>
        <w:t xml:space="preserve"> </w:t>
      </w:r>
      <w:r>
        <w:rPr>
          <w:i/>
        </w:rPr>
        <w:t xml:space="preserve">03_imis-output.RData</w:t>
      </w:r>
      <w:r>
        <w:t xml:space="preserve">. Storing this data as a datafile gives us the possibility to inport the data without re-running the calibration code.</w:t>
      </w:r>
    </w:p>
    <w:p>
      <w:pPr>
        <w:pStyle w:val="BodyText"/>
      </w:pPr>
      <w:r>
        <w:t xml:space="preserve">For illustration purposes, we also provide code to calibrated the Sick-Sicker model with the Nelder-Mead algorithm</w:t>
      </w:r>
      <w:r>
        <w:t xml:space="preserve"> </w:t>
      </w:r>
      <w:r>
        <w:t xml:space="preserve">(Nelder and Mead 1965)</w:t>
      </w:r>
      <w:r>
        <w:t xml:space="preserve">, which was initialized at 100 different starting points sampled from the prior distributions of the calibrated parameters. This calibration exercise can be found in the file</w:t>
      </w:r>
      <w:r>
        <w:t xml:space="preserve"> </w:t>
      </w:r>
      <w:r>
        <w:rPr>
          <w:rStyle w:val="VerbatimChar"/>
        </w:rPr>
        <w:t xml:space="preserve">app2_calibration-nelder-mead.R</w:t>
      </w:r>
      <w:r>
        <w:t xml:space="preserve">, but we will not go into details for this file.</w:t>
      </w:r>
    </w:p>
    <w:p>
      <w:pPr>
        <w:pStyle w:val="Heading3"/>
      </w:pPr>
      <w:bookmarkStart w:id="32" w:name="validation"/>
      <w:bookmarkEnd w:id="32"/>
      <w:r>
        <w:t xml:space="preserve">04 Validation</w:t>
      </w:r>
    </w:p>
    <w:p>
      <w:pPr>
        <w:pStyle w:val="FirstParagraph"/>
      </w:pPr>
      <w:r>
        <w:t xml:space="preserve">In this section, we like to check the internal validity of our Sick-Sicker model before we continue with the analysis. Checking the internal validity means that we need to make sure that the output corresponds with our input. For example, we like to check that Sicker individuals can not recover and that most of our cohort died by the end of the time horizon. We also plot our model-predicted outputs against the calibration targets. Therefore, the</w:t>
      </w:r>
      <w:r>
        <w:t xml:space="preserve"> </w:t>
      </w:r>
      <w:r>
        <w:rPr>
          <w:i/>
        </w:rPr>
        <w:t xml:space="preserve">04_validation.R</w:t>
      </w:r>
      <w:r>
        <w:t xml:space="preserve"> </w:t>
      </w:r>
      <w:r>
        <w:t xml:space="preserve">file stats with sourcing all previously described functions and generated calibration data.</w:t>
      </w:r>
    </w:p>
    <w:p>
      <w:pPr>
        <w:pStyle w:val="BodyText"/>
      </w:pPr>
      <w:r>
        <w:t xml:space="preserve">We compute the model-predicted outputs for each sample of posterior distribution as well as for the MAP estimate. Section</w:t>
      </w:r>
      <w:r>
        <w:t xml:space="preserve"> </w:t>
      </w:r>
      <w:r>
        <w:rPr>
          <w:i/>
        </w:rPr>
        <w:t xml:space="preserve">04.5</w:t>
      </w:r>
      <w:r>
        <w:t xml:space="preserve"> </w:t>
      </w:r>
      <w:r>
        <w:t xml:space="preserve">is computing these model-predicted outputs for each sample using the function</w:t>
      </w:r>
      <w:r>
        <w:t xml:space="preserve"> </w:t>
      </w:r>
      <w:r>
        <w:rPr>
          <w:rStyle w:val="VerbatimChar"/>
        </w:rPr>
        <w:t xml:space="preserve">f.data_summary</w:t>
      </w:r>
      <w:r>
        <w:t xml:space="preserve">.</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0x7f876807d928&gt;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estimates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the time points 10, 20 and 30.</w:t>
      </w:r>
    </w:p>
    <w:p>
      <w:pPr>
        <w:pStyle w:val="BodyText"/>
      </w:pPr>
      <w:r>
        <w:t xml:space="preserve">In sections</w:t>
      </w:r>
      <w:r>
        <w:t xml:space="preserve"> </w:t>
      </w:r>
      <w:r>
        <w:rPr>
          <w:b/>
        </w:rPr>
        <w:t xml:space="preserve">04.6 Internal validation: Model-predicted outputs vs. targets</w:t>
      </w:r>
      <w:r>
        <w:t xml:space="preserve"> </w:t>
      </w:r>
      <w:r>
        <w:t xml:space="preserve">we check the internal validation of our model-predicted outputs versus our targets using plots. The generated plots are saved as .png files, which in turn can be used without the need of re-running the code.</w:t>
      </w:r>
    </w:p>
    <w:p>
      <w:pPr>
        <w:pStyle w:val="FigureWithCaption"/>
      </w:pPr>
      <w:r>
        <w:drawing>
          <wp:inline>
            <wp:extent cx="5334000" cy="4000499"/>
            <wp:effectExtent b="0" l="0" r="0" t="0"/>
            <wp:docPr descr="Survival data: Posterior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Posterior vs targets</w:t>
      </w:r>
      <w:r>
        <w:t xml:space="preserve"> </w:t>
      </w:r>
    </w:p>
    <w:p>
      <w:pPr>
        <w:pStyle w:val="FigureWithCaption"/>
      </w:pPr>
      <w:r>
        <w:drawing>
          <wp:inline>
            <wp:extent cx="5334000" cy="4000499"/>
            <wp:effectExtent b="0" l="0" r="0" t="0"/>
            <wp:docPr descr="Prevalence data: Posterior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Posterior vs targets</w:t>
      </w:r>
      <w:r>
        <w:t xml:space="preserve"> </w:t>
      </w:r>
    </w:p>
    <w:p>
      <w:pPr>
        <w:pStyle w:val="BodyText"/>
      </w:pPr>
      <w:r>
        <w:drawing>
          <wp:inline>
            <wp:extent cx="5334000" cy="4000499"/>
            <wp:effectExtent b="0" l="0" r="0" t="0"/>
            <wp:docPr descr="Proportion sicker data: Posterior vs targets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r>
        <w:t xml:space="preserve"> </w:t>
      </w:r>
      <w:r>
        <w:rPr>
          <w:b/>
        </w:rPr>
        <w:t xml:space="preserve">[Do we need an interpretation of the graphs?]</w:t>
      </w:r>
    </w:p>
    <w:p>
      <w:pPr>
        <w:pStyle w:val="Heading3"/>
      </w:pPr>
      <w:bookmarkStart w:id="36" w:name="analysis"/>
      <w:bookmarkEnd w:id="36"/>
      <w:r>
        <w:t xml:space="preserve">05: Analysis</w:t>
      </w:r>
    </w:p>
    <w:p>
      <w:pPr>
        <w:pStyle w:val="FirstParagraph"/>
      </w:pPr>
      <w:r>
        <w:t xml:space="preserve">The analysis component is where the model developed in components 1-4 is applied to answer the question(s) of interest given current information. Our framework separates the analysis in three subcomponents, subcomponents</w:t>
      </w:r>
      <w:r>
        <w:t xml:space="preserve"> </w:t>
      </w:r>
      <w:r>
        <w:rPr>
          <w:b/>
        </w:rPr>
        <w:t xml:space="preserve">05a</w:t>
      </w:r>
      <w:r>
        <w:t xml:space="preserve"> </w:t>
      </w:r>
      <w:r>
        <w:t xml:space="preserve">being the deterministic analysis,</w:t>
      </w:r>
      <w:r>
        <w:t xml:space="preserve"> </w:t>
      </w:r>
      <w:r>
        <w:rPr>
          <w:b/>
        </w:rPr>
        <w:t xml:space="preserve">05b</w:t>
      </w:r>
      <w:r>
        <w:t xml:space="preserve"> </w:t>
      </w:r>
      <w:r>
        <w:t xml:space="preserve">the uncertainty analysis and</w:t>
      </w:r>
      <w:r>
        <w:t xml:space="preserve"> </w:t>
      </w:r>
      <w:r>
        <w:rPr>
          <w:b/>
        </w:rPr>
        <w:t xml:space="preserve">05c</w:t>
      </w:r>
      <w:r>
        <w:t xml:space="preserve"> </w:t>
      </w:r>
      <w:r>
        <w:t xml:space="preserve">the value of information analysis. For the Sick-Sicker example, all three subcomponents will be used to answer the CE research question and to quantify the uncertainty of our decision. For procedures in the cost-effectiveness analyses, we rely on the R package dampack, which is available here:</w:t>
      </w:r>
      <w:r>
        <w:t xml:space="preserve"> </w:t>
      </w:r>
      <w:hyperlink r:id="rId37">
        <w:r>
          <w:rPr>
            <w:rStyle w:val="Hyperlink"/>
          </w:rPr>
          <w:t xml:space="preserve">https://github.com/DARTH-git/dampack</w:t>
        </w:r>
      </w:hyperlink>
      <w:r>
        <w:t xml:space="preserve">. Instructions for installing dampack are described in Appendix A. provided in the framework</w:t>
      </w:r>
      <w:r>
        <w:t xml:space="preserve"> </w:t>
      </w:r>
      <w:r>
        <w:rPr>
          <w:i/>
        </w:rPr>
        <w:t xml:space="preserve">app0_packages-setup.R script</w:t>
      </w:r>
      <w:r>
        <w:t xml:space="preserve">.</w:t>
      </w:r>
    </w:p>
    <w:p>
      <w:pPr>
        <w:pStyle w:val="Heading4"/>
      </w:pPr>
      <w:bookmarkStart w:id="38" w:name="a-deterministic-analysis"/>
      <w:bookmarkEnd w:id="38"/>
      <w:r>
        <w:t xml:space="preserve">05a Deterministic analysis</w:t>
      </w:r>
    </w:p>
    <w:p>
      <w:pPr>
        <w:pStyle w:val="FirstParagraph"/>
      </w:pPr>
      <w:r>
        <w:t xml:space="preserve">In this subcomponent we start with performing the basic CEA, followed by evaluating some of the parameter uncertainy using deterministic sensitivity analysis. The functions file of this subcomponent,</w:t>
      </w:r>
      <w:r>
        <w:t xml:space="preserve"> </w:t>
      </w:r>
      <w:r>
        <w:rPr>
          <w:rStyle w:val="VerbatimChar"/>
        </w:rPr>
        <w:t xml:space="preserve">05a_deterministic-analysis_function.R</w:t>
      </w:r>
      <w:r>
        <w:t xml:space="preserve"> </w:t>
      </w:r>
      <w:r>
        <w:t xml:space="preserve">file contains the functions</w:t>
      </w:r>
      <w:r>
        <w:t xml:space="preserve"> </w:t>
      </w:r>
      <w:r>
        <w:rPr>
          <w:rStyle w:val="VerbatimChar"/>
        </w:rPr>
        <w:t xml:space="preserve">f.generate_basecase_params()</w:t>
      </w:r>
      <w:r>
        <w:t xml:space="preserve"> </w:t>
      </w:r>
      <w:r>
        <w:t xml:space="preserve">and</w:t>
      </w:r>
      <w:r>
        <w:t xml:space="preserve"> </w:t>
      </w:r>
      <w:r>
        <w:rPr>
          <w:rStyle w:val="VerbatimChar"/>
        </w:rPr>
        <w:t xml:space="preserve">f.calculate_ce_out</w:t>
      </w:r>
      <w:r>
        <w:t xml:space="preserve">. These</w:t>
      </w:r>
      <w:r>
        <w:t xml:space="preserve"> </w:t>
      </w:r>
      <w:r>
        <w:rPr>
          <w:rStyle w:val="VerbatimChar"/>
        </w:rPr>
        <w:t xml:space="preserve">f.generate_basecase_params</w:t>
      </w:r>
      <w:r>
        <w:t xml:space="preserve"> </w:t>
      </w:r>
      <w:r>
        <w:t xml:space="preserve">function is used to generate a base-case set of paramters needed for the CEA analysis. This included using the function</w:t>
      </w:r>
      <w:r>
        <w:t xml:space="preserve"> </w:t>
      </w:r>
      <w:r>
        <w:rPr>
          <w:rStyle w:val="VerbatimChar"/>
        </w:rPr>
        <w:t xml:space="preserve">f.define_init_params</w:t>
      </w:r>
      <w:r>
        <w:t xml:space="preserve"> </w:t>
      </w:r>
      <w:r>
        <w:t xml:space="preserve">to generate the initial parameter values, as described before, but now the placeholder values are replaced by the calibrated values.</w:t>
      </w:r>
    </w:p>
    <w:p>
      <w:pPr>
        <w:pStyle w:val="SourceCode"/>
      </w:pPr>
      <w:r>
        <w:rPr>
          <w:rStyle w:val="KeywordTok"/>
        </w:rPr>
        <w:t xml:space="preserve">print</w:t>
      </w:r>
      <w:r>
        <w:rPr>
          <w:rStyle w:val="NormalTok"/>
        </w:rPr>
        <w:t xml:space="preserve">(f.generate_basecase_params) </w:t>
      </w:r>
      <w:r>
        <w:rPr>
          <w:rStyle w:val="CommentTok"/>
        </w:rPr>
        <w:t xml:space="preserve"># print the function </w:t>
      </w:r>
    </w:p>
    <w:p>
      <w:pPr>
        <w:pStyle w:val="FirstParagraph"/>
      </w:pPr>
      <w:r>
        <w:t xml:space="preserve">The results for the</w:t>
      </w:r>
      <w:r>
        <w:t xml:space="preserve"> </w:t>
      </w:r>
      <w:r>
        <w:rPr>
          <w:rStyle w:val="VerbatimChar"/>
        </w:rPr>
        <w:t xml:space="preserve">f.generate_basecase_params</w:t>
      </w:r>
      <w:r>
        <w:t xml:space="preserve"> </w:t>
      </w:r>
      <w:r>
        <w:t xml:space="preserve">function are stored in the variable</w:t>
      </w:r>
      <w:r>
        <w:rPr>
          <w:rStyle w:val="VerbatimChar"/>
        </w:rPr>
        <w:t xml:space="preserve">v.params.basecase</w:t>
      </w:r>
      <w:r>
        <w:t xml:space="preserve">, containing all the basecase values of the parameters. These values are used as input for the</w:t>
      </w:r>
      <w:r>
        <w:t xml:space="preserve"> </w:t>
      </w:r>
      <w:r>
        <w:rPr>
          <w:rStyle w:val="VerbatimChar"/>
        </w:rPr>
        <w:t xml:space="preserve">f.calculate_ce_out</w:t>
      </w:r>
      <w:r>
        <w:t xml:space="preserve"> </w:t>
      </w:r>
      <w:r>
        <w:t xml:space="preserve">function. The users can also specify the willingness-to-pay (WTP) value using the</w:t>
      </w:r>
      <w:r>
        <w:t xml:space="preserve"> </w:t>
      </w:r>
      <w:r>
        <w:rPr>
          <w:rStyle w:val="VerbatimChar"/>
        </w:rPr>
        <w:t xml:space="preserve">n.wtp</w:t>
      </w:r>
      <w:r>
        <w:t xml:space="preserve"> </w:t>
      </w:r>
      <w:r>
        <w:t xml:space="preserve">argument of the function. This WTP value is used to compute a net monetary benefit (NMB) value. If the users does not specify the WTP, a default value of 100000 will be used by the function.</w:t>
      </w:r>
    </w:p>
    <w:p>
      <w:pPr>
        <w:pStyle w:val="SourceCode"/>
      </w:pPr>
      <w:r>
        <w:rPr>
          <w:rStyle w:val="KeywordTok"/>
        </w:rPr>
        <w:t xml:space="preserve">print</w:t>
      </w:r>
      <w:r>
        <w:rPr>
          <w:rStyle w:val="NormalTok"/>
        </w:rPr>
        <w:t xml:space="preserve">(f.calculate_ce_out) </w:t>
      </w:r>
      <w:r>
        <w:rPr>
          <w:rStyle w:val="CommentTok"/>
        </w:rPr>
        <w:t xml:space="preserve"># print the function </w:t>
      </w:r>
    </w:p>
    <w:p>
      <w:pPr>
        <w:pStyle w:val="FirstParagraph"/>
      </w:pPr>
      <w:r>
        <w:t xml:space="preserve">The first part of the function runs the decision model using the previously described function</w:t>
      </w:r>
      <w:r>
        <w:t xml:space="preserve"> </w:t>
      </w:r>
      <w:r>
        <w:rPr>
          <w:rStyle w:val="VerbatimChar"/>
        </w:rPr>
        <w:t xml:space="preserve">f.decision_model</w:t>
      </w:r>
      <w:r>
        <w:t xml:space="preserve">. Since we set the argument</w:t>
      </w:r>
      <w:r>
        <w:t xml:space="preserve"> </w:t>
      </w:r>
      <w:r>
        <w:rPr>
          <w:rStyle w:val="VerbatimChar"/>
        </w:rPr>
        <w:t xml:space="preserve">v.params</w:t>
      </w:r>
      <w:r>
        <w:t xml:space="preserve"> </w:t>
      </w:r>
      <w:r>
        <w:t xml:space="preserve">equal to</w:t>
      </w:r>
      <w:r>
        <w:t xml:space="preserve"> </w:t>
      </w:r>
      <w:r>
        <w:rPr>
          <w:rStyle w:val="VerbatimChar"/>
        </w:rPr>
        <w:t xml:space="preserve">v.params.basecase</w:t>
      </w:r>
      <w:r>
        <w:t xml:space="preserve">, we are now using the basecase parameters rather than the initial values. Running this code gives us a list of output for both the treatment,</w:t>
      </w:r>
      <w:r>
        <w:t xml:space="preserve"> </w:t>
      </w:r>
      <w:r>
        <w:rPr>
          <w:rStyle w:val="VerbatimChar"/>
        </w:rPr>
        <w:t xml:space="preserve">l.model.out.trt</w:t>
      </w:r>
      <w:r>
        <w:t xml:space="preserve">, and no treatement,</w:t>
      </w:r>
      <w:r>
        <w:t xml:space="preserve"> </w:t>
      </w:r>
      <w:r>
        <w:rPr>
          <w:rStyle w:val="VerbatimChar"/>
        </w:rPr>
        <w:t xml:space="preserve">l.model.out.no_trt</w:t>
      </w:r>
      <w:r>
        <w:t xml:space="preserve"> </w:t>
      </w:r>
      <w:r>
        <w:t xml:space="preserve">strategy of the Sick-Sicker model. In the second part of the function we create multiple vectors for both the cost and effects of both strategies. These vectors in turn are mulitplied using matrix multiplication, indicated by</w:t>
      </w:r>
      <w:r>
        <w:t xml:space="preserve"> </w:t>
      </w:r>
      <w:r>
        <w:rPr>
          <w:rStyle w:val="VerbatimChar"/>
        </w:rPr>
        <w:t xml:space="preserve">%*%</w:t>
      </w:r>
      <w:r>
        <w:t xml:space="preserve"> </w:t>
      </w:r>
      <w:r>
        <w:t xml:space="preserve">in R, with the Markov trace. This results in vectors of total costs (</w:t>
      </w:r>
      <w:r>
        <w:rPr>
          <w:rStyle w:val="VerbatimChar"/>
        </w:rPr>
        <w:t xml:space="preserve">v.tc</w:t>
      </w:r>
      <w:r>
        <w:t xml:space="preserve">) and total effects (</w:t>
      </w:r>
      <w:r>
        <w:rPr>
          <w:rStyle w:val="VerbatimChar"/>
        </w:rPr>
        <w:t xml:space="preserve">v.tu</w:t>
      </w:r>
      <w:r>
        <w:t xml:space="preserve">) per cycle. By multiplying these vectors with the vectors with the discount weights for costs (</w:t>
      </w:r>
      <w:r>
        <w:rPr>
          <w:rStyle w:val="VerbatimChar"/>
        </w:rPr>
        <w:t xml:space="preserve">v.dwc</w:t>
      </w:r>
      <w:r>
        <w:t xml:space="preserve">) and effects (</w:t>
      </w:r>
      <w:r>
        <w:rPr>
          <w:rStyle w:val="VerbatimChar"/>
        </w:rPr>
        <w:t xml:space="preserve">v.dwe</w:t>
      </w:r>
      <w:r>
        <w:t xml:space="preserve">) we get the total discounted mean costs (</w:t>
      </w:r>
      <w:r>
        <w:rPr>
          <w:rStyle w:val="VerbatimChar"/>
        </w:rPr>
        <w:t xml:space="preserve">tc.d_no_trt</w:t>
      </w:r>
      <w:r>
        <w:t xml:space="preserve"> </w:t>
      </w:r>
      <w:r>
        <w:t xml:space="preserve">and</w:t>
      </w:r>
      <w:r>
        <w:t xml:space="preserve"> </w:t>
      </w:r>
      <w:r>
        <w:rPr>
          <w:rStyle w:val="VerbatimChar"/>
        </w:rPr>
        <w:t xml:space="preserve">tc.d_trt</w:t>
      </w:r>
      <w:r>
        <w:t xml:space="preserve">) and QALYs (</w:t>
      </w:r>
      <w:r>
        <w:rPr>
          <w:rStyle w:val="VerbatimChar"/>
        </w:rPr>
        <w:t xml:space="preserve">tu.d_no_trt</w:t>
      </w:r>
      <w:r>
        <w:t xml:space="preserve"> </w:t>
      </w:r>
      <w:r>
        <w:t xml:space="preserve">and</w:t>
      </w:r>
      <w:r>
        <w:t xml:space="preserve"> </w:t>
      </w:r>
      <w:r>
        <w:rPr>
          <w:rStyle w:val="VerbatimChar"/>
        </w:rPr>
        <w:t xml:space="preserve">tu.d_trt</w:t>
      </w:r>
      <w:r>
        <w:t xml:space="preserve">) for both strategies. These values are used in the calculation the NMB. The total costs, total effectiveness and the NMB are combined in a matrix, called</w:t>
      </w:r>
      <w:r>
        <w:t xml:space="preserve"> </w:t>
      </w:r>
      <w:r>
        <w:rPr>
          <w:rStyle w:val="VerbatimChar"/>
        </w:rPr>
        <w:t xml:space="preserve">m.ce</w:t>
      </w:r>
      <w:r>
        <w:t xml:space="preserve">. This matrix is the result of the function. This compact matrix with the CE results can be used as an argumnet in the</w:t>
      </w:r>
      <w:r>
        <w:t xml:space="preserve"> </w:t>
      </w:r>
      <w:r>
        <w:rPr>
          <w:rStyle w:val="VerbatimChar"/>
        </w:rPr>
        <w:t xml:space="preserve">calculate_icers</w:t>
      </w:r>
      <w:r>
        <w:t xml:space="preserve"> </w:t>
      </w:r>
      <w:r>
        <w:t xml:space="preserve">function from the DAMPACK package.</w:t>
      </w:r>
    </w:p>
    <w:p>
      <w:pPr>
        <w:pStyle w:val="BodyText"/>
      </w:pPr>
      <w:r>
        <w:t xml:space="preserve">We now have the results of our CEA and we would like to evaluate the uncertainity around this decision using one-way sensitivity analysis (OWSA).</w:t>
      </w:r>
      <w:r>
        <w:t xml:space="preserve"> </w:t>
      </w:r>
      <w:r>
        <w:t xml:space="preserve">XXXXX</w:t>
      </w:r>
    </w:p>
    <w:p>
      <w:pPr>
        <w:pStyle w:val="Heading4"/>
      </w:pPr>
      <w:bookmarkStart w:id="39" w:name="b-uncertainty-analysis"/>
      <w:bookmarkEnd w:id="39"/>
      <w:r>
        <w:t xml:space="preserve">05b Uncertainty analysis</w:t>
      </w:r>
    </w:p>
    <w:p>
      <w:pPr>
        <w:pStyle w:val="FirstParagraph"/>
      </w:pPr>
      <w:r>
        <w:t xml:space="preserve">In this subsection, we evaluate decision uncertainy by evaluating the uncertainty of our parameter values using probabilistic sensitiviy analysis (PSA). Until now we used the parameter values as described in Table {tab:parameters}. However, the truth is that we are uncertain about the described values. Most of these input parameters are defined by a distribtion as described in Table</w:t>
      </w:r>
      <w:r>
        <w:t xml:space="preserve"> </w:t>
      </w:r>
      <w:r>
        <w:t xml:space="preserve">.</w:t>
      </w:r>
    </w:p>
    <w:p>
      <w:pPr>
        <w:pStyle w:val="TableCaption"/>
      </w:pPr>
      <w:r>
        <w:t xml:space="preserve"> </w:t>
      </w:r>
      <w:r>
        <w:t xml:space="preserve">Description of parameters with their R name and value.</w:t>
      </w:r>
    </w:p>
    <w:tbl>
      <w:tblPr>
        <w:tblStyle w:val="TableNormal"/>
        <w:tblW w:type="pct" w:w="4444.444444444444"/>
        <w:tblLook w:firstRow="1"/>
        <w:tblCaption w:val=" Description of parameters with their R name and value."/>
      </w:tblPr>
      <w:tblGrid>
        <w:gridCol w:w="3740"/>
        <w:gridCol w:w="1540"/>
        <w:gridCol w:w="1760"/>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Distribtion</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rPr>
                <w:rStyle w:val="VerbatimChar"/>
              </w:rPr>
              <w:t xml:space="preserve">beta(30, 170)</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rPr>
                <w:rStyle w:val="VerbatimChar"/>
              </w:rPr>
              <w:t xml:space="preserve">beta(60, 60)</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rPr>
                <w:rStyle w:val="VerbatimChar"/>
              </w:rPr>
              <w:t xml:space="preserve">gamma(shape = 100, scale = 20)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rPr>
                <w:rStyle w:val="VerbatimChar"/>
              </w:rPr>
              <w:t xml:space="preserve">gamma(shape = 177.8, scale = 22.5)</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rPr>
                <w:rStyle w:val="VerbatimChar"/>
              </w:rPr>
              <w:t xml:space="preserve">gamma(shape = 225, scale = 66.7)</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rPr>
                <w:rStyle w:val="VerbatimChar"/>
              </w:rPr>
              <w:t xml:space="preserve">gamma(shape = 73.5, scale = 163.3)</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rPr>
                <w:rStyle w:val="VerbatimChar"/>
              </w:rPr>
              <w:t xml:space="preserve">truncnorm(mean = 1, sd = 0.01, b = 1)</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rPr>
                <w:rStyle w:val="VerbatimChar"/>
              </w:rPr>
              <w:t xml:space="preserve">truncnorm(mean = 0.75, sd = 0.02, b = 1)</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rPr>
                <w:rStyle w:val="VerbatimChar"/>
              </w:rPr>
              <w:t xml:space="preserve">truncnorm(mean = 0.50, sd = 0.03, b = 1)</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rPr>
                <w:rStyle w:val="VerbatimChar"/>
              </w:rPr>
              <w:t xml:space="preserve">truncnorm(mean = 0.95, sd = 0.02, b = 1)</w:t>
            </w:r>
          </w:p>
        </w:tc>
      </w:tr>
    </w:tbl>
    <w:p>
      <w:pPr>
        <w:pStyle w:val="BodyText"/>
      </w:pPr>
      <w:r>
        <w:t xml:space="preserve">In a PSA we sample the input parameter values from these distributions and we than run the model for each sample. This means that we need to make multiple PSA data sets to run the model with. In the file</w:t>
      </w:r>
      <w:r>
        <w:t xml:space="preserve"> </w:t>
      </w:r>
      <w:r>
        <w:rPr>
          <w:i/>
        </w:rPr>
        <w:t xml:space="preserve">05b_uncertainty-analysis_functions.R</w:t>
      </w:r>
      <w:r>
        <w:t xml:space="preserve"> </w:t>
      </w:r>
      <w:r>
        <w:t xml:space="preserve">we created a single function, called</w:t>
      </w:r>
      <w:r>
        <w:t xml:space="preserve"> </w:t>
      </w:r>
      <w:r>
        <w:rPr>
          <w:rStyle w:val="VerbatimChar"/>
        </w:rPr>
        <w:t xml:space="preserve">f.generate_psa_params</w:t>
      </w:r>
      <w:r>
        <w:t xml:space="preserve">, that is able top generate a PSA dataset of CEA input parameters for each number of simulations we like to have in our PSA. We specify the number of PSA simulation via the</w:t>
      </w:r>
      <w:r>
        <w:t xml:space="preserve"> </w:t>
      </w:r>
      <w:r>
        <w:rPr>
          <w:rStyle w:val="VerbatimChar"/>
        </w:rPr>
        <w:t xml:space="preserve">n.sim</w:t>
      </w:r>
      <w:r>
        <w:t xml:space="preserve"> </w:t>
      </w:r>
      <w:r>
        <w:t xml:space="preserve">argument. The function is also using a seed to allow reproducing the results of this stocastic proces.</w:t>
      </w:r>
    </w:p>
    <w:p>
      <w:pPr>
        <w:pStyle w:val="SourceCode"/>
      </w:pPr>
      <w:r>
        <w:rPr>
          <w:rStyle w:val="KeywordTok"/>
        </w:rPr>
        <w:t xml:space="preserve">print.function</w:t>
      </w:r>
      <w:r>
        <w:rPr>
          <w:rStyle w:val="NormalTok"/>
        </w:rPr>
        <w:t xml:space="preserve">(f.generate_psa_params) </w:t>
      </w:r>
      <w:r>
        <w:rPr>
          <w:rStyle w:val="CommentTok"/>
        </w:rPr>
        <w:t xml:space="preserve"># print the function </w:t>
      </w:r>
    </w:p>
    <w:p>
      <w:pPr>
        <w:pStyle w:val="FirstParagraph"/>
      </w:pPr>
      <w:r>
        <w:t xml:space="preserve">The function returns a dataframe of PSA output, that can then be used to run the model for each sample.</w:t>
      </w:r>
    </w:p>
    <w:p>
      <w:pPr>
        <w:pStyle w:val="Heading4"/>
      </w:pPr>
      <w:bookmarkStart w:id="40" w:name="c-value-of-information"/>
      <w:bookmarkEnd w:id="40"/>
      <w:r>
        <w:t xml:space="preserve">05c Value of information</w:t>
      </w:r>
    </w:p>
    <w:p>
      <w:pPr>
        <w:pStyle w:val="Heading3"/>
      </w:pPr>
      <w:bookmarkStart w:id="41" w:name="references"/>
      <w:bookmarkEnd w:id="41"/>
      <w:r>
        <w:t xml:space="preserve">References</w:t>
      </w:r>
    </w:p>
    <w:p>
      <w:pPr>
        <w:pStyle w:val="Bibliography"/>
      </w:pPr>
      <w:r>
        <w:t xml:space="preserve">Alarid-Escudero, F, EM Krijkamp, P Pechlivanoglou, EA Enns, MGM Hunink, and H Jalal. 2018. “State-transition cohort models in R, from conceptualization to implementation: A tutorial.”</w:t>
      </w:r>
      <w:r>
        <w:t xml:space="preserve"> </w:t>
      </w:r>
      <w:r>
        <w:rPr>
          <w:i/>
        </w:rPr>
        <w:t xml:space="preserve">Medical Decision Making : An International Journal of the Society for Medical Decision Making</w:t>
      </w:r>
      <w:r>
        <w:t xml:space="preserve"> </w:t>
      </w:r>
      <w:r>
        <w:t xml:space="preserve">XX (X). SAGE PublicationsSage CA: Los Angeles, CA: XX.</w:t>
      </w:r>
      <w:r>
        <w:t xml:space="preserve"> </w:t>
      </w:r>
      <w:hyperlink r:id="rId42">
        <w:r>
          <w:rPr>
            <w:rStyle w:val="Hyperlink"/>
          </w:rPr>
          <w:t xml:space="preserve">http://journals.sagepub.com/doi/10.1177/0272989X16686559 http://www.ncbi.nlm.nih.gov/pubmed/28061043</w:t>
        </w:r>
      </w:hyperlink>
      <w:r>
        <w:t xml:space="preserve">.</w:t>
      </w:r>
    </w:p>
    <w:p>
      <w:pPr>
        <w:pStyle w:val="Bibliography"/>
      </w:pPr>
      <w:r>
        <w:t xml:space="preserve">Alarid-Escudero, Fernando, Richard F. MacLehose, Yadira Peralta, Karen M. Kuntz, and Eva A. Enns. 2018. “Nonidentifiability in Model Calibration and Implications for Medical Decision Making.”</w:t>
      </w:r>
      <w:r>
        <w:t xml:space="preserve"> </w:t>
      </w:r>
      <w:r>
        <w:rPr>
          <w:i/>
        </w:rPr>
        <w:t xml:space="preserve">Medical Decision Making</w:t>
      </w:r>
      <w:r>
        <w:t xml:space="preserve"> </w:t>
      </w:r>
      <w:r>
        <w:t xml:space="preserve">38 (7): 810–21. doi:</w:t>
      </w:r>
      <w:hyperlink r:id="rId43">
        <w:r>
          <w:rPr>
            <w:rStyle w:val="Hyperlink"/>
          </w:rPr>
          <w:t xml:space="preserve">10.1177/0272989X18792283</w:t>
        </w:r>
      </w:hyperlink>
      <w:r>
        <w:t xml:space="preserve">.</w:t>
      </w:r>
    </w:p>
    <w:p>
      <w:pPr>
        <w:pStyle w:val="Bibliography"/>
      </w:pPr>
      <w:r>
        <w:t xml:space="preserve">Enns, EA, LE Cipriano, CT Simons, and CY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44">
        <w:r>
          <w:rPr>
            <w:rStyle w:val="Hyperlink"/>
          </w:rPr>
          <w:t xml:space="preserve">10.1177/0272989X14528382</w:t>
        </w:r>
      </w:hyperlink>
      <w:r>
        <w:t xml:space="preserve">.</w:t>
      </w:r>
    </w:p>
    <w:p>
      <w:pPr>
        <w:pStyle w:val="Bibliography"/>
      </w:pPr>
      <w:r>
        <w:t xml:space="preserve">Menzies, Nicolas A, Ankur Pandya, and Jane J Kim. 2017. “HHS Public Access.”</w:t>
      </w:r>
      <w:r>
        <w:t xml:space="preserve"> </w:t>
      </w:r>
      <w:r>
        <w:rPr>
          <w:i/>
        </w:rPr>
        <w:t xml:space="preserve">Pharmacoeconomics</w:t>
      </w:r>
      <w:r>
        <w:t xml:space="preserve"> </w:t>
      </w:r>
      <w:r>
        <w:t xml:space="preserve">35 (6): 613–24. doi:</w:t>
      </w:r>
      <w:hyperlink r:id="rId45">
        <w:r>
          <w:rPr>
            <w:rStyle w:val="Hyperlink"/>
          </w:rPr>
          <w:t xml:space="preserve">10.1007/s40273-017-0494-4.Bayesian</w:t>
        </w:r>
      </w:hyperlink>
      <w:r>
        <w:t xml:space="preserve">.</w:t>
      </w:r>
    </w:p>
    <w:p>
      <w:pPr>
        <w:pStyle w:val="Bibliography"/>
      </w:pPr>
      <w:r>
        <w:t xml:space="preserve">Nelder, J. A., and R. Mead. 1965. “A Simplex Method for Function Minimization.”</w:t>
      </w:r>
      <w:r>
        <w:t xml:space="preserve"> </w:t>
      </w:r>
      <w:r>
        <w:rPr>
          <w:i/>
        </w:rPr>
        <w:t xml:space="preserve">The Computer Journal</w:t>
      </w:r>
      <w:r>
        <w:t xml:space="preserve"> </w:t>
      </w:r>
      <w:r>
        <w:t xml:space="preserve">7 (4): 308–13. doi:</w:t>
      </w:r>
      <w:hyperlink r:id="rId46">
        <w:r>
          <w:rPr>
            <w:rStyle w:val="Hyperlink"/>
          </w:rPr>
          <w:t xml:space="preserve">10.1093/comjnl/7.4.308</w:t>
        </w:r>
      </w:hyperlink>
      <w:r>
        <w:t xml:space="preserve">.</w:t>
      </w:r>
    </w:p>
    <w:p>
      <w:pPr>
        <w:pStyle w:val="Bibliography"/>
      </w:pPr>
      <w:r>
        <w:t xml:space="preserve">Raftery, Adrian, and Le Bao. 2012.</w:t>
      </w:r>
      <w:r>
        <w:t xml:space="preserve"> </w:t>
      </w:r>
      <w:r>
        <w:rPr>
          <w:i/>
        </w:rPr>
        <w:t xml:space="preserve">IMIS: Increamental Mixture Importance Sampling</w:t>
      </w:r>
      <w:r>
        <w:t xml:space="preserve">.</w:t>
      </w:r>
      <w:r>
        <w:t xml:space="preserve"> </w:t>
      </w:r>
      <w:hyperlink r:id="rId47">
        <w:r>
          <w:rPr>
            <w:rStyle w:val="Hyperlink"/>
          </w:rPr>
          <w:t xml:space="preserve">https://CRAN.R-project.org/package=IMIS</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da949d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42" Target="http://journals.sagepub.com/doi/10.1177/0272989X16686559 http://www.ncbi.nlm.nih.gov/pubmed/28061043" TargetMode="External" /><Relationship Type="http://schemas.openxmlformats.org/officeDocument/2006/relationships/hyperlink" Id="rId47" Target="https://CRAN.R-project.org/package=IMIS" TargetMode="External" /><Relationship Type="http://schemas.openxmlformats.org/officeDocument/2006/relationships/hyperlink" Id="rId45" Target="https://doi.org/10.1007/s40273-017-0494-4.Bayesian" TargetMode="External" /><Relationship Type="http://schemas.openxmlformats.org/officeDocument/2006/relationships/hyperlink" Id="rId46" Target="https://doi.org/10.1093/comjnl/7.4.308" TargetMode="External" /><Relationship Type="http://schemas.openxmlformats.org/officeDocument/2006/relationships/hyperlink" Id="rId44" Target="https://doi.org/10.1177/0272989X14528382" TargetMode="External" /><Relationship Type="http://schemas.openxmlformats.org/officeDocument/2006/relationships/hyperlink" Id="rId43"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_rels/footnotes.xml.rels><?xml version="1.0" encoding="UTF-8"?>
<Relationships xmlns="http://schemas.openxmlformats.org/package/2006/relationships"><Relationship Type="http://schemas.openxmlformats.org/officeDocument/2006/relationships/hyperlink" Id="rId42" Target="http://journals.sagepub.com/doi/10.1177/0272989X16686559 http://www.ncbi.nlm.nih.gov/pubmed/28061043" TargetMode="External" /><Relationship Type="http://schemas.openxmlformats.org/officeDocument/2006/relationships/hyperlink" Id="rId47" Target="https://CRAN.R-project.org/package=IMIS" TargetMode="External" /><Relationship Type="http://schemas.openxmlformats.org/officeDocument/2006/relationships/hyperlink" Id="rId45" Target="https://doi.org/10.1007/s40273-017-0494-4.Bayesian" TargetMode="External" /><Relationship Type="http://schemas.openxmlformats.org/officeDocument/2006/relationships/hyperlink" Id="rId46" Target="https://doi.org/10.1093/comjnl/7.4.308" TargetMode="External" /><Relationship Type="http://schemas.openxmlformats.org/officeDocument/2006/relationships/hyperlink" Id="rId44" Target="https://doi.org/10.1177/0272989X14528382" TargetMode="External" /><Relationship Type="http://schemas.openxmlformats.org/officeDocument/2006/relationships/hyperlink" Id="rId43" Target="https://doi.org/10.1177/0272989X18792283" TargetMode="External" /><Relationship Type="http://schemas.openxmlformats.org/officeDocument/2006/relationships/hyperlink" Id="rId22"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 study - as part of the framework paper</dc:title>
  <dc:creator>DARTH workgroup</dc:creator>
  <dcterms:created xsi:type="dcterms:W3CDTF">2019-02-27T11:01:23Z</dcterms:created>
  <dcterms:modified xsi:type="dcterms:W3CDTF">2019-02-27T11:01:23Z</dcterms:modified>
</cp:coreProperties>
</file>