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p>
      <w:pPr>
        <w:pStyle w:val="Heading1"/>
      </w:pPr>
      <w:bookmarkStart w:id="21" w:name="задания"/>
      <w:r>
        <w:t xml:space="preserve">Задания</w:t>
      </w:r>
      <w:bookmarkEnd w:id="21"/>
    </w:p>
    <w:p>
      <w:pPr>
        <w:numPr>
          <w:ilvl w:val="0"/>
          <w:numId w:val="1001"/>
        </w:numPr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0"/>
        </w:numPr>
      </w:pPr>
      <w:r>
        <w:t xml:space="preserve">В качестве отчёта просьба предоставить отчёты в 3 форматах: pdf, docx и md.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</w:pPr>
      <w:r>
        <w:t xml:space="preserve">Клонировал с github репозиторий с шаблоном отчёта</w:t>
      </w:r>
    </w:p>
    <w:p>
      <w:pPr>
        <w:numPr>
          <w:ilvl w:val="0"/>
          <w:numId w:val="1002"/>
        </w:numPr>
      </w:pPr>
      <w:r>
        <w:t xml:space="preserve">Открыл шаблон в редакторе Typora</w:t>
      </w:r>
    </w:p>
    <w:p>
      <w:pPr>
        <w:numPr>
          <w:ilvl w:val="0"/>
          <w:numId w:val="1002"/>
        </w:numPr>
      </w:pPr>
      <w:r>
        <w:t xml:space="preserve">Написал отчёт по предыдущей лабораторной работе на языке markdown.</w:t>
      </w:r>
    </w:p>
    <w:p>
      <w:pPr>
        <w:numPr>
          <w:ilvl w:val="0"/>
          <w:numId w:val="1000"/>
        </w:numPr>
      </w:pPr>
      <w:r>
        <w:t xml:space="preserve">(рис. 1)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856618"/>
            <wp:effectExtent b="0" l="0" r="0" t="0"/>
            <wp:docPr descr="Figure 1: Отчёт в редакторе" title="" id="1" name="Picture"/>
            <a:graphic>
              <a:graphicData uri="http://schemas.openxmlformats.org/drawingml/2006/picture">
                <pic:pic>
                  <pic:nvPicPr>
                    <pic:cNvPr descr="D:\OBS\Videos_obs\ЛР3\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Figure 1: Отчёт в редакторе</w:t>
      </w:r>
    </w:p>
    <w:p>
      <w:pPr>
        <w:numPr>
          <w:ilvl w:val="0"/>
          <w:numId w:val="1002"/>
        </w:numPr>
      </w:pPr>
      <w:r>
        <w:t xml:space="preserve">При помощи pandoc, командой make конвертировал отчёт в форматы pdf и docx.</w:t>
      </w:r>
    </w:p>
    <w:p>
      <w:pPr>
        <w:numPr>
          <w:ilvl w:val="0"/>
          <w:numId w:val="1000"/>
        </w:numPr>
      </w:pPr>
      <w:r>
        <w:t xml:space="preserve">(рис. 2)</w:t>
      </w:r>
    </w:p>
    <w:p>
      <w:pPr>
        <w:numPr>
          <w:ilvl w:val="0"/>
          <w:numId w:val="1000"/>
        </w:numPr>
        <w:pStyle w:val="CaptionedFigure"/>
      </w:pPr>
      <w:bookmarkStart w:id="26" w:name="fig:002"/>
      <w:r>
        <w:drawing>
          <wp:inline>
            <wp:extent cx="5334000" cy="2229227"/>
            <wp:effectExtent b="0" l="0" r="0" t="0"/>
            <wp:docPr descr="Figure 2: Переход в рабочий каталог" title="" id="1" name="Picture"/>
            <a:graphic>
              <a:graphicData uri="http://schemas.openxmlformats.org/drawingml/2006/picture">
                <pic:pic>
                  <pic:nvPicPr>
                    <pic:cNvPr descr="D:\OBS\Videos_obs\ЛР3\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Figure 2: Переход в рабочий каталог</w:t>
      </w:r>
    </w:p>
    <w:p>
      <w:pPr>
        <w:pStyle w:val="Heading1"/>
      </w:pPr>
      <w:bookmarkStart w:id="27" w:name="выводы"/>
      <w:r>
        <w:t xml:space="preserve">Выводы</w:t>
      </w:r>
      <w:bookmarkEnd w:id="27"/>
    </w:p>
    <w:p>
      <w:pPr>
        <w:pStyle w:val="FirstParagraph"/>
      </w:pPr>
      <w:r>
        <w:t xml:space="preserve">Благодаря лабораторной работе я смог научиться оформлять отчёты с помощью легковесного языка разметки Markdown.</w:t>
      </w:r>
    </w:p>
    <w:p>
      <w:pPr>
        <w:pStyle w:val="Heading1"/>
      </w:pPr>
      <w:bookmarkStart w:id="28" w:name="использованные-ресурсы"/>
      <w:r>
        <w:t xml:space="preserve">Использованные ресурсы</w:t>
      </w:r>
      <w:bookmarkEnd w:id="28"/>
    </w:p>
    <w:p>
      <w:pPr>
        <w:pStyle w:val="FirstParagraph"/>
      </w:pPr>
      <w:r>
        <w:t xml:space="preserve">https://support.typora.io/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Серегин Денис Алексеевич</dc:creator>
  <dc:language>ru-RU</dc:language>
  <cp:keywords/>
  <dcterms:created xsi:type="dcterms:W3CDTF">2021-06-12T18:53:33Z</dcterms:created>
  <dcterms:modified xsi:type="dcterms:W3CDTF">2021-06-12T18:53:33Z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