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48.png" ContentType="image/png"/>
  <Override PartName="/word/media/rId45.png" ContentType="image/png"/>
  <Override PartName="/word/media/rId27.png" ContentType="image/png"/>
  <Override PartName="/word/media/rId30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построение математической модели конкуренции двух фирм 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оборотные средства предприятия τ 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, 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Подробнее в</w:t>
      </w:r>
      <w:r>
        <w:t xml:space="preserve"> </w:t>
      </w:r>
      <w:r>
        <w:t xml:space="preserve">[</w:t>
      </w:r>
      <w:r>
        <w:rPr>
          <w:bCs/>
          <w:b/>
        </w:rPr>
        <w:t xml:space="preserve">pres?</w:t>
      </w:r>
      <w:r>
        <w:t xml:space="preserve">]</w:t>
      </w:r>
      <w:r>
        <w:t xml:space="preserve">.</w:t>
      </w:r>
    </w:p>
    <w:bookmarkEnd w:id="22"/>
    <w:bookmarkStart w:id="25" w:name="конкуренция-двух-фир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Конкуренция двух фирм</w:t>
      </w:r>
    </w:p>
    <w:bookmarkStart w:id="23" w:name="случай-1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какимлибо иным способом.)</w:t>
      </w:r>
    </w:p>
    <w:p>
      <w:pPr>
        <w:pStyle w:val="BodyText"/>
      </w:pPr>
      <w:r>
        <w:t xml:space="preserve">Исследуем систему в случае, когда постоянные издержки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1</m:t>
            </m:r>
            <m:r>
              <m:rPr>
                <m:sty m:val="p"/>
              </m:rPr>
              <m:t>,</m:t>
            </m:r>
            <m:r>
              <m:t>k</m:t>
            </m:r>
            <m:r>
              <m:t>2</m:t>
            </m:r>
          </m:e>
        </m:d>
      </m:oMath>
      <w:r>
        <w:t xml:space="preserve"> </w:t>
      </w:r>
      <w:r>
        <w:t xml:space="preserve">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q</m:t>
            </m:r>
          </m:sub>
        </m:sSub>
        <m:r>
          <m:t>θ</m:t>
        </m:r>
      </m:oMath>
      <w:r>
        <w:t xml:space="preserve">. 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необходимо знать начальные условия.</w:t>
      </w:r>
    </w:p>
    <w:bookmarkEnd w:id="23"/>
    <w:bookmarkStart w:id="24" w:name="случай-2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pStyle w:val="BodyText"/>
      </w:pPr>
      <w:r>
        <w:rPr>
          <w:bCs/>
          <w:b/>
        </w:rPr>
        <w:t xml:space="preserve">Замечание:</w:t>
      </w:r>
      <w:r>
        <w:t xml:space="preserve"> </w:t>
      </w:r>
      <w:r>
        <w:t xml:space="preserve">Стоит отметить, что рассматривается упрощенная модель, которая дает модельное решение. В реальности факторов, влияющих на динамику изменения оборотных средств предприятий, больше.</w:t>
      </w:r>
    </w:p>
    <w:p>
      <w:pPr>
        <w:pStyle w:val="BodyText"/>
      </w:pPr>
      <w:r>
        <w:t xml:space="preserve">Подробнее в</w:t>
      </w:r>
      <w:r>
        <w:t xml:space="preserve"> </w:t>
      </w:r>
      <w:r>
        <w:t xml:space="preserve">[</w:t>
      </w:r>
      <w:r>
        <w:rPr>
          <w:bCs/>
          <w:b/>
        </w:rPr>
        <w:t xml:space="preserve">julia?</w:t>
      </w:r>
      <w:r>
        <w:t xml:space="preserve">]</w:t>
      </w:r>
      <w:r>
        <w:t xml:space="preserve">.</w:t>
      </w:r>
    </w:p>
    <w:bookmarkEnd w:id="24"/>
    <w:bookmarkEnd w:id="25"/>
    <w:bookmarkEnd w:id="26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Зададим систему и начальные условия на Julia (??).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131957"/>
            <wp:effectExtent b="0" l="0" r="0" t="0"/>
            <wp:docPr descr="Код для первой модели" title="fig:" id="28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для первой модели</w:t>
      </w:r>
    </w:p>
    <w:p>
      <w:pPr>
        <w:numPr>
          <w:ilvl w:val="0"/>
          <w:numId w:val="1002"/>
        </w:numPr>
      </w:pPr>
      <w:r>
        <w:t xml:space="preserve">Построим график изменения численности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65793"/>
            <wp:effectExtent b="0" l="0" r="0" t="0"/>
            <wp:docPr descr="График для первой модели" title="fig:" id="31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для первой модели</w:t>
      </w:r>
    </w:p>
    <w:p>
      <w:pPr>
        <w:numPr>
          <w:ilvl w:val="0"/>
          <w:numId w:val="1002"/>
        </w:numPr>
      </w:pPr>
      <w:r>
        <w:t xml:space="preserve">Теперь зададим модель в Opemmodelica (??).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369220"/>
            <wp:effectExtent b="0" l="0" r="0" t="0"/>
            <wp:docPr descr="Модель в openmodelica" title="fig:" id="34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Модель в openmodelica</w:t>
      </w:r>
    </w:p>
    <w:p>
      <w:pPr>
        <w:numPr>
          <w:ilvl w:val="0"/>
          <w:numId w:val="1002"/>
        </w:numPr>
      </w:pPr>
      <w:r>
        <w:t xml:space="preserve">Построим график (??).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86557"/>
            <wp:effectExtent b="0" l="0" r="0" t="0"/>
            <wp:docPr descr="Результаты моделирования в openmodelica" title="fig:" id="37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Результаты моделирования в openmodelica</w:t>
      </w:r>
    </w:p>
    <w:p>
      <w:pPr>
        <w:numPr>
          <w:ilvl w:val="0"/>
          <w:numId w:val="1002"/>
        </w:numPr>
      </w:pPr>
      <w:r>
        <w:t xml:space="preserve">Рассмотрим второй случай.</w:t>
      </w:r>
    </w:p>
    <w:p>
      <w:pPr>
        <w:numPr>
          <w:ilvl w:val="0"/>
          <w:numId w:val="1002"/>
        </w:numPr>
      </w:pPr>
      <w:r>
        <w:t xml:space="preserve">Система уравнений в Julia (??).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762468"/>
            <wp:effectExtent b="0" l="0" r="0" t="0"/>
            <wp:docPr descr="Код для второй модели" title="fig:" id="40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для второй модели</w:t>
      </w:r>
    </w:p>
    <w:p>
      <w:pPr>
        <w:numPr>
          <w:ilvl w:val="0"/>
          <w:numId w:val="1002"/>
        </w:numPr>
      </w:pPr>
      <w:r>
        <w:t xml:space="preserve">Построим графики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324818"/>
            <wp:effectExtent b="0" l="0" r="0" t="0"/>
            <wp:docPr descr="Результат моделирования в julia" title="fig:" id="43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Результат моделирования в julia</w:t>
      </w:r>
    </w:p>
    <w:p>
      <w:pPr>
        <w:numPr>
          <w:ilvl w:val="0"/>
          <w:numId w:val="1002"/>
        </w:numPr>
      </w:pPr>
      <w:r>
        <w:t xml:space="preserve">Та же модель в openmodelica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859023"/>
            <wp:effectExtent b="0" l="0" r="0" t="0"/>
            <wp:docPr descr="Код для второй модели" title="fig:" id="46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для второй модели</w:t>
      </w:r>
    </w:p>
    <w:p>
      <w:pPr>
        <w:numPr>
          <w:ilvl w:val="0"/>
          <w:numId w:val="1002"/>
        </w:numPr>
      </w:pPr>
      <w:r>
        <w:t xml:space="preserve">И результаты моделирования (??)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01243"/>
            <wp:effectExtent b="0" l="0" r="0" t="0"/>
            <wp:docPr descr="График модели" title="fig:" id="49" name="Picture"/>
            <a:graphic>
              <a:graphicData uri="http://schemas.openxmlformats.org/drawingml/2006/picture">
                <pic:pic>
                  <pic:nvPicPr>
                    <pic:cNvPr descr="/Users/denis_seregin/work/study/2022-2023/Математическое%20моделирование/study_2022-2023_mathmod/labs/lab8/report/image/С≠®ђЃ™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График модели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была рассмотрена простейшая модель конкуренции двух фирм . С использованием Julia и OpenModelica построены графики изменения численности, найдена точка максимума скорости.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Серегин Денис Алексеевич</dc:creator>
  <dc:language>ru-RU</dc:language>
  <cp:keywords/>
  <dcterms:created xsi:type="dcterms:W3CDTF">2023-04-01T14:40:59Z</dcterms:created>
  <dcterms:modified xsi:type="dcterms:W3CDTF">2023-04-01T14:40:59Z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