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Prof Chaojie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447D7994" w:rsidR="008A4F6A" w:rsidRDefault="008A4F6A" w:rsidP="00DE3485">
      <w:pPr>
        <w:tabs>
          <w:tab w:val="left" w:pos="5480"/>
        </w:tabs>
        <w:spacing w:after="0" w:line="240" w:lineRule="auto"/>
      </w:pPr>
      <w:r>
        <w:t>###### Literature search: Alzheimer’s Disease</w:t>
      </w:r>
    </w:p>
    <w:p w14:paraId="57CC6E7B" w14:textId="55AED705" w:rsidR="008A4F6A" w:rsidRDefault="008A4F6A" w:rsidP="00DE3485">
      <w:pPr>
        <w:tabs>
          <w:tab w:val="left" w:pos="5480"/>
        </w:tabs>
        <w:spacing w:after="0" w:line="240" w:lineRule="auto"/>
      </w:pPr>
      <w:r>
        <w:t>###### Diagnosing Alzheimer’s is hard!</w:t>
      </w:r>
    </w:p>
    <w:p w14:paraId="3A9462C3" w14:textId="5B95971D" w:rsidR="008A4F6A" w:rsidRDefault="008A4F6A" w:rsidP="00DE3485">
      <w:pPr>
        <w:tabs>
          <w:tab w:val="left" w:pos="5480"/>
        </w:tabs>
        <w:spacing w:after="0" w:line="240" w:lineRule="auto"/>
      </w:pPr>
      <w:r>
        <w:t>###### 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72205087" w:rsidR="008A4F6A" w:rsidRDefault="008A4F6A" w:rsidP="008A4F6A">
      <w:pPr>
        <w:tabs>
          <w:tab w:val="left" w:pos="5480"/>
        </w:tabs>
        <w:spacing w:after="0" w:line="240" w:lineRule="auto"/>
      </w:pPr>
      <w:r>
        <w:t>###### Stats</w:t>
      </w:r>
      <w:r w:rsidR="00C77E25">
        <w:t xml:space="preserve"> &amp; </w:t>
      </w:r>
      <w:r>
        <w:t>Data viz</w:t>
      </w:r>
    </w:p>
    <w:p w14:paraId="032AD53C" w14:textId="7BA15038" w:rsidR="008A4F6A" w:rsidRDefault="008A4F6A" w:rsidP="008A4F6A">
      <w:pPr>
        <w:tabs>
          <w:tab w:val="left" w:pos="5480"/>
        </w:tabs>
        <w:spacing w:after="0" w:line="240" w:lineRule="auto"/>
      </w:pPr>
      <w:r>
        <w:t>###### Filtering</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6712BB61" w14:textId="73A88CB4" w:rsidR="00AB2D4C" w:rsidRDefault="00AB2D4C" w:rsidP="00AB2D4C">
      <w:pPr>
        <w:tabs>
          <w:tab w:val="left" w:pos="5480"/>
        </w:tabs>
        <w:spacing w:after="0" w:line="240" w:lineRule="auto"/>
      </w:pPr>
      <w:r>
        <w:t>###### Data cleansing &amp; transformation</w:t>
      </w:r>
    </w:p>
    <w:p w14:paraId="7A71656E" w14:textId="569842F9" w:rsidR="00AB2D4C" w:rsidRDefault="00AB2D4C" w:rsidP="00AB2D4C">
      <w:pPr>
        <w:tabs>
          <w:tab w:val="left" w:pos="5480"/>
        </w:tabs>
        <w:spacing w:after="0" w:line="240" w:lineRule="auto"/>
      </w:pPr>
      <w:r>
        <w:t>###### Stratified train/test split</w:t>
      </w:r>
    </w:p>
    <w:p w14:paraId="54AB6735" w14:textId="36859D88" w:rsidR="00AB2D4C" w:rsidRDefault="00AB2D4C" w:rsidP="00AB2D4C">
      <w:pPr>
        <w:tabs>
          <w:tab w:val="left" w:pos="5480"/>
        </w:tabs>
        <w:spacing w:after="0" w:line="240" w:lineRule="auto"/>
      </w:pPr>
      <w:r>
        <w:t>###### Model training</w:t>
      </w:r>
    </w:p>
    <w:p w14:paraId="4EA34D78" w14:textId="68A46CB3" w:rsidR="00AB2D4C" w:rsidRDefault="00AB2D4C" w:rsidP="00AB2D4C">
      <w:pPr>
        <w:tabs>
          <w:tab w:val="left" w:pos="5480"/>
        </w:tabs>
        <w:spacing w:after="0" w:line="240" w:lineRule="auto"/>
      </w:pPr>
      <w:r>
        <w:t>###### Prediction evaluation</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58184E77" w14:textId="440C5E7E"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p>
    <w:p w14:paraId="43CF780D" w14:textId="77777777" w:rsidR="00CD0875" w:rsidRDefault="00CD0875" w:rsidP="008A4DDE">
      <w:pPr>
        <w:tabs>
          <w:tab w:val="left" w:pos="5480"/>
        </w:tabs>
        <w:spacing w:after="0" w:line="240" w:lineRule="auto"/>
      </w:pPr>
    </w:p>
    <w:p w14:paraId="66EBFB12" w14:textId="77777777" w:rsidR="008A4DDE" w:rsidRDefault="008A4DDE" w:rsidP="00AB2D4C">
      <w:pPr>
        <w:tabs>
          <w:tab w:val="left" w:pos="5480"/>
        </w:tabs>
        <w:spacing w:after="0" w:line="240" w:lineRule="auto"/>
      </w:pPr>
    </w:p>
    <w:p w14:paraId="2B6B9374" w14:textId="409DE511" w:rsidR="009E2BCB" w:rsidRDefault="003C7232" w:rsidP="003C7232">
      <w:pPr>
        <w:tabs>
          <w:tab w:val="left" w:pos="720"/>
        </w:tabs>
        <w:spacing w:after="0" w:line="240" w:lineRule="auto"/>
      </w:pPr>
      <w:r>
        <w:tab/>
        <w:t>Alzheimer’s disease (AD) is a progressive neurodegenerative disease which causes a decline in cognitive functions until death. It is the main cause of dementia and rapidly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acetylcholine (ACh), its receptors, and/or 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514BEA0E"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A861E5">
        <w:t>or</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p>
    <w:p w14:paraId="68592D81" w14:textId="77777777" w:rsidR="00A42636" w:rsidRDefault="00A42636"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11699EBD"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lastRenderedPageBreak/>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77777777" w:rsidR="00E739D4" w:rsidRDefault="00E739D4" w:rsidP="00E739D4">
      <w:pPr>
        <w:pStyle w:val="ListParagraph"/>
        <w:numPr>
          <w:ilvl w:val="0"/>
          <w:numId w:val="2"/>
        </w:numPr>
        <w:tabs>
          <w:tab w:val="left" w:pos="720"/>
        </w:tabs>
        <w:spacing w:after="0" w:line="240" w:lineRule="auto"/>
      </w:pPr>
      <w:r>
        <w:t>eTIV = Estimated Total Intracrananial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566C9996" w14:textId="77777777" w:rsidR="00BA3C3A" w:rsidRDefault="00BA3C3A" w:rsidP="003C7232">
      <w:pPr>
        <w:tabs>
          <w:tab w:val="left" w:pos="720"/>
        </w:tabs>
        <w:spacing w:after="0" w:line="240" w:lineRule="auto"/>
      </w:pPr>
    </w:p>
    <w:p w14:paraId="702D2A4F" w14:textId="284C15EB" w:rsidR="00E739D4" w:rsidRDefault="00E739D4" w:rsidP="003C7232">
      <w:pPr>
        <w:tabs>
          <w:tab w:val="left" w:pos="720"/>
        </w:tabs>
        <w:spacing w:after="0" w:line="240" w:lineRule="auto"/>
      </w:pPr>
      <w:r>
        <w:t>TODO – replace with MD chart?</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eTIV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54DFCC69"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r w:rsidR="00675CDC">
        <w:t xml:space="preserve">eTIV, nWBV,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8"/>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A concerning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9"/>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0">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from around 20 to around 90</w:t>
      </w:r>
      <w:r w:rsidR="00A054DD">
        <w:t xml:space="preserve">,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1"/>
                    <a:stretch>
                      <a:fillRect/>
                    </a:stretch>
                  </pic:blipFill>
                  <pic:spPr>
                    <a:xfrm>
                      <a:off x="0" y="0"/>
                      <a:ext cx="3705225" cy="2647950"/>
                    </a:xfrm>
                    <a:prstGeom prst="rect">
                      <a:avLst/>
                    </a:prstGeom>
                  </pic:spPr>
                </pic:pic>
              </a:graphicData>
            </a:graphic>
          </wp:inline>
        </w:drawing>
      </w: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2"/>
                    <a:stretch>
                      <a:fillRect/>
                    </a:stretch>
                  </pic:blipFill>
                  <pic:spPr>
                    <a:xfrm>
                      <a:off x="0" y="0"/>
                      <a:ext cx="3638550" cy="2647950"/>
                    </a:xfrm>
                    <a:prstGeom prst="rect">
                      <a:avLst/>
                    </a:prstGeom>
                  </pic:spPr>
                </pic:pic>
              </a:graphicData>
            </a:graphic>
          </wp:inline>
        </w:drawing>
      </w:r>
    </w:p>
    <w:p w14:paraId="3ECED896" w14:textId="60A242C7" w:rsidR="00D913D0" w:rsidRDefault="00D913D0" w:rsidP="00DE3485">
      <w:pPr>
        <w:tabs>
          <w:tab w:val="left" w:pos="5480"/>
        </w:tabs>
        <w:spacing w:after="0" w:line="240" w:lineRule="auto"/>
      </w:pPr>
      <w:r>
        <w:t>SES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is </w:t>
      </w:r>
      <w:r>
        <w:t>presumably is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then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the vast majority of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4"/>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8BC690A"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Some of these patients are categorized as questionable or mild impairment, with a few reaching moderate. Notably, this corroborates with the MMSE results which have similar gradings, with</w:t>
      </w:r>
      <w:r w:rsidR="00811D68">
        <w:t xml:space="preserve"> fewer and fewer patients as severity increases, and</w:t>
      </w:r>
      <w:r w:rsidR="0085522C">
        <w:t xml:space="preserve"> none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063B708B" w:rsidR="006F0C41" w:rsidRDefault="006F0C41" w:rsidP="00DE3485">
      <w:pPr>
        <w:tabs>
          <w:tab w:val="left" w:pos="5480"/>
        </w:tabs>
        <w:spacing w:after="0" w:line="240" w:lineRule="auto"/>
      </w:pPr>
      <w:r>
        <w:t xml:space="preserve">eTIV is surprisingly almost a perfect normal distribution. This may be a result of having already normalized the patients towards a reference standard. </w:t>
      </w: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6"/>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r>
        <w:t xml:space="preserve">nWBV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7"/>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2DA9EFB8" w14:textId="76009BA4" w:rsidR="0067304E" w:rsidRDefault="0067304E" w:rsidP="00DE3485">
      <w:pPr>
        <w:tabs>
          <w:tab w:val="left" w:pos="5480"/>
        </w:tabs>
        <w:spacing w:after="0" w:line="240" w:lineRule="auto"/>
      </w:pPr>
      <w:r>
        <w:t xml:space="preserve">Similar situation for ASF which also looks like a perfect normal distribution. </w:t>
      </w: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8"/>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The boxplots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19"/>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024B5641" w14:textId="323E642E" w:rsidR="00A23C2C" w:rsidRDefault="004A54A3" w:rsidP="00ED58A0">
      <w:pPr>
        <w:tabs>
          <w:tab w:val="left" w:pos="5480"/>
        </w:tabs>
        <w:spacing w:after="0" w:line="240" w:lineRule="auto"/>
      </w:pPr>
      <w:r>
        <w:t>###### Filtering</w:t>
      </w:r>
    </w:p>
    <w:p w14:paraId="4DC129A9" w14:textId="77777777" w:rsidR="00D913D0" w:rsidRDefault="00D913D0" w:rsidP="00DE3485">
      <w:pPr>
        <w:tabs>
          <w:tab w:val="left" w:pos="5480"/>
        </w:tabs>
        <w:spacing w:after="0" w:line="240" w:lineRule="auto"/>
      </w:pPr>
    </w:p>
    <w:p w14:paraId="46915C06" w14:textId="202D8D2A" w:rsidR="00041458" w:rsidRDefault="00041458" w:rsidP="00DE3485">
      <w:pPr>
        <w:tabs>
          <w:tab w:val="left" w:pos="5480"/>
        </w:tabs>
        <w:spacing w:after="0" w:line="240" w:lineRule="auto"/>
      </w:pPr>
      <w:r>
        <w:t>As all patients are right-handed, this removes variability from left-handed dominance, so this column no longer provides utility in training an ML algorithm and can be removed.</w:t>
      </w:r>
    </w:p>
    <w:p w14:paraId="665FACCB" w14:textId="7F74D7C3" w:rsidR="0042686C" w:rsidRDefault="0042686C" w:rsidP="00DE3485">
      <w:pPr>
        <w:tabs>
          <w:tab w:val="left" w:pos="5480"/>
        </w:tabs>
        <w:spacing w:after="0" w:line="240" w:lineRule="auto"/>
      </w:pPr>
      <w:r>
        <w:t>Since I will be focusing on the cross-sectional cohort, I can drop the patient ID column. T</w:t>
      </w:r>
    </w:p>
    <w:p w14:paraId="79C0B96E" w14:textId="33015099" w:rsidR="0042686C" w:rsidRDefault="0042686C" w:rsidP="00DE3485">
      <w:pPr>
        <w:tabs>
          <w:tab w:val="left" w:pos="5480"/>
        </w:tabs>
        <w:spacing w:after="0" w:line="240" w:lineRule="auto"/>
      </w:pPr>
      <w:r>
        <w:t>Regroup CDR</w:t>
      </w:r>
    </w:p>
    <w:p w14:paraId="12467027" w14:textId="77777777" w:rsidR="00051ECD" w:rsidRDefault="00051ECD" w:rsidP="00DE3485">
      <w:pPr>
        <w:tabs>
          <w:tab w:val="left" w:pos="5480"/>
        </w:tabs>
        <w:spacing w:after="0" w:line="240" w:lineRule="auto"/>
      </w:pPr>
    </w:p>
    <w:p w14:paraId="49A13132" w14:textId="415F90EF" w:rsidR="008A50E0" w:rsidRDefault="008A50E0" w:rsidP="00DE3485">
      <w:pPr>
        <w:tabs>
          <w:tab w:val="left" w:pos="5480"/>
        </w:tabs>
        <w:spacing w:after="0" w:line="240" w:lineRule="auto"/>
      </w:pPr>
      <w:r>
        <w:t>TODO</w:t>
      </w:r>
    </w:p>
    <w:p w14:paraId="061D60CC" w14:textId="1DDEED76" w:rsidR="008A50E0" w:rsidRPr="00DE3485" w:rsidRDefault="008A50E0" w:rsidP="008A50E0">
      <w:pPr>
        <w:pStyle w:val="ListParagraph"/>
        <w:numPr>
          <w:ilvl w:val="0"/>
          <w:numId w:val="1"/>
        </w:numPr>
        <w:tabs>
          <w:tab w:val="left" w:pos="5480"/>
        </w:tabs>
        <w:spacing w:after="0" w:line="240" w:lineRule="auto"/>
      </w:pPr>
      <w:r>
        <w:t>Convert into MD format</w:t>
      </w: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2A3F"/>
    <w:rsid w:val="00041458"/>
    <w:rsid w:val="00051ECD"/>
    <w:rsid w:val="00072AD6"/>
    <w:rsid w:val="0008770D"/>
    <w:rsid w:val="00090745"/>
    <w:rsid w:val="000A21E6"/>
    <w:rsid w:val="000B7F4F"/>
    <w:rsid w:val="000E3311"/>
    <w:rsid w:val="00162E82"/>
    <w:rsid w:val="0016784D"/>
    <w:rsid w:val="00172020"/>
    <w:rsid w:val="00185F9A"/>
    <w:rsid w:val="00191666"/>
    <w:rsid w:val="001B5027"/>
    <w:rsid w:val="001E6FCF"/>
    <w:rsid w:val="002B369A"/>
    <w:rsid w:val="002C0777"/>
    <w:rsid w:val="00311307"/>
    <w:rsid w:val="00314891"/>
    <w:rsid w:val="00360AB1"/>
    <w:rsid w:val="00370F87"/>
    <w:rsid w:val="00375332"/>
    <w:rsid w:val="00387BB0"/>
    <w:rsid w:val="003C7232"/>
    <w:rsid w:val="003F5442"/>
    <w:rsid w:val="00407D41"/>
    <w:rsid w:val="0042686C"/>
    <w:rsid w:val="00432BFE"/>
    <w:rsid w:val="004506FD"/>
    <w:rsid w:val="00456E72"/>
    <w:rsid w:val="004A54A3"/>
    <w:rsid w:val="004C1CF9"/>
    <w:rsid w:val="00502F2C"/>
    <w:rsid w:val="00511DD9"/>
    <w:rsid w:val="0053561A"/>
    <w:rsid w:val="00545D31"/>
    <w:rsid w:val="0054641E"/>
    <w:rsid w:val="00574018"/>
    <w:rsid w:val="005749D5"/>
    <w:rsid w:val="0058465B"/>
    <w:rsid w:val="005962D2"/>
    <w:rsid w:val="005B31D6"/>
    <w:rsid w:val="0062030E"/>
    <w:rsid w:val="0067304E"/>
    <w:rsid w:val="00675CDC"/>
    <w:rsid w:val="00697446"/>
    <w:rsid w:val="006B7D60"/>
    <w:rsid w:val="006E4930"/>
    <w:rsid w:val="006F0C41"/>
    <w:rsid w:val="007126C0"/>
    <w:rsid w:val="00784F75"/>
    <w:rsid w:val="007A20A8"/>
    <w:rsid w:val="007A6E53"/>
    <w:rsid w:val="007C7F8C"/>
    <w:rsid w:val="007F2479"/>
    <w:rsid w:val="00811D68"/>
    <w:rsid w:val="00836D8F"/>
    <w:rsid w:val="00843164"/>
    <w:rsid w:val="0085522C"/>
    <w:rsid w:val="0089731D"/>
    <w:rsid w:val="008A4DDE"/>
    <w:rsid w:val="008A4F6A"/>
    <w:rsid w:val="008A50E0"/>
    <w:rsid w:val="008B50F8"/>
    <w:rsid w:val="008D5E1F"/>
    <w:rsid w:val="008D7BB5"/>
    <w:rsid w:val="00912FCD"/>
    <w:rsid w:val="00931301"/>
    <w:rsid w:val="009630E8"/>
    <w:rsid w:val="009633A9"/>
    <w:rsid w:val="009740E6"/>
    <w:rsid w:val="00983439"/>
    <w:rsid w:val="009A1F12"/>
    <w:rsid w:val="009A7373"/>
    <w:rsid w:val="009B1646"/>
    <w:rsid w:val="009D4701"/>
    <w:rsid w:val="009E2BCB"/>
    <w:rsid w:val="009F0117"/>
    <w:rsid w:val="009F7C3D"/>
    <w:rsid w:val="00A054DD"/>
    <w:rsid w:val="00A23C2C"/>
    <w:rsid w:val="00A42636"/>
    <w:rsid w:val="00A50217"/>
    <w:rsid w:val="00A724EF"/>
    <w:rsid w:val="00A861E5"/>
    <w:rsid w:val="00AA3039"/>
    <w:rsid w:val="00AB09B4"/>
    <w:rsid w:val="00AB2D4C"/>
    <w:rsid w:val="00AD13C8"/>
    <w:rsid w:val="00AD61F1"/>
    <w:rsid w:val="00AF2209"/>
    <w:rsid w:val="00B15883"/>
    <w:rsid w:val="00B22B1C"/>
    <w:rsid w:val="00B23298"/>
    <w:rsid w:val="00B314F1"/>
    <w:rsid w:val="00B3167D"/>
    <w:rsid w:val="00B37A7A"/>
    <w:rsid w:val="00B42A70"/>
    <w:rsid w:val="00B55C4F"/>
    <w:rsid w:val="00B64BC3"/>
    <w:rsid w:val="00BA3C3A"/>
    <w:rsid w:val="00BC6201"/>
    <w:rsid w:val="00BD1F74"/>
    <w:rsid w:val="00BD50E1"/>
    <w:rsid w:val="00BD596A"/>
    <w:rsid w:val="00C37629"/>
    <w:rsid w:val="00C531E8"/>
    <w:rsid w:val="00C72666"/>
    <w:rsid w:val="00C77E25"/>
    <w:rsid w:val="00C9462F"/>
    <w:rsid w:val="00CA2365"/>
    <w:rsid w:val="00CC57E4"/>
    <w:rsid w:val="00CD0875"/>
    <w:rsid w:val="00D3125B"/>
    <w:rsid w:val="00D913D0"/>
    <w:rsid w:val="00D96014"/>
    <w:rsid w:val="00DA0DDC"/>
    <w:rsid w:val="00DA751E"/>
    <w:rsid w:val="00DB5316"/>
    <w:rsid w:val="00DC3885"/>
    <w:rsid w:val="00DC388D"/>
    <w:rsid w:val="00DD2FA2"/>
    <w:rsid w:val="00DE3485"/>
    <w:rsid w:val="00DE651B"/>
    <w:rsid w:val="00E44BE0"/>
    <w:rsid w:val="00E56160"/>
    <w:rsid w:val="00E6351E"/>
    <w:rsid w:val="00E64A4F"/>
    <w:rsid w:val="00E739D4"/>
    <w:rsid w:val="00E82416"/>
    <w:rsid w:val="00E837EC"/>
    <w:rsid w:val="00EB0598"/>
    <w:rsid w:val="00ED55AE"/>
    <w:rsid w:val="00ED58A0"/>
    <w:rsid w:val="00EE1F41"/>
    <w:rsid w:val="00F0464E"/>
    <w:rsid w:val="00F071C2"/>
    <w:rsid w:val="00F22664"/>
    <w:rsid w:val="00F35C58"/>
    <w:rsid w:val="00F40CBC"/>
    <w:rsid w:val="00F430E5"/>
    <w:rsid w:val="00F65A47"/>
    <w:rsid w:val="00F678E1"/>
    <w:rsid w:val="00FE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13</Pages>
  <Words>10524</Words>
  <Characters>59991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140</cp:revision>
  <dcterms:created xsi:type="dcterms:W3CDTF">2023-05-11T14:54:00Z</dcterms:created>
  <dcterms:modified xsi:type="dcterms:W3CDTF">2023-05-13T17:45:00Z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id="rLk2eoP9"/&gt;&lt;style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