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3443D619" w:rsidR="008A4F6A" w:rsidRDefault="008A4F6A" w:rsidP="00DE3485">
      <w:pPr>
        <w:tabs>
          <w:tab w:val="left" w:pos="5480"/>
        </w:tabs>
        <w:spacing w:after="0" w:line="240" w:lineRule="auto"/>
      </w:pPr>
      <w:r>
        <w:t xml:space="preserve">###### </w:t>
      </w:r>
      <w:r w:rsidR="00F835E2">
        <w:t xml:space="preserve">- </w:t>
      </w:r>
      <w:r>
        <w:t>Literature search: Alzheimer’s Disease</w:t>
      </w:r>
    </w:p>
    <w:p w14:paraId="57CC6E7B" w14:textId="2C9009DC" w:rsidR="008A4F6A" w:rsidRDefault="008A4F6A" w:rsidP="00DE3485">
      <w:pPr>
        <w:tabs>
          <w:tab w:val="left" w:pos="5480"/>
        </w:tabs>
        <w:spacing w:after="0" w:line="240" w:lineRule="auto"/>
      </w:pPr>
      <w:r>
        <w:t xml:space="preserve">###### </w:t>
      </w:r>
      <w:r w:rsidR="00F835E2">
        <w:t xml:space="preserve">- </w:t>
      </w:r>
      <w:r>
        <w:t>Diagnosing Alzheimer’s is hard!</w:t>
      </w:r>
    </w:p>
    <w:p w14:paraId="3A9462C3" w14:textId="5063619A" w:rsidR="008A4F6A" w:rsidRDefault="008A4F6A" w:rsidP="00DE3485">
      <w:pPr>
        <w:tabs>
          <w:tab w:val="left" w:pos="5480"/>
        </w:tabs>
        <w:spacing w:after="0" w:line="240" w:lineRule="auto"/>
      </w:pPr>
      <w:r>
        <w:t xml:space="preserve">###### </w:t>
      </w:r>
      <w:r w:rsidR="00F835E2">
        <w:t xml:space="preserve">- </w:t>
      </w:r>
      <w:r>
        <w:t>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270D3E13" w:rsidR="008A4F6A" w:rsidRDefault="008A4F6A" w:rsidP="008A4F6A">
      <w:pPr>
        <w:tabs>
          <w:tab w:val="left" w:pos="5480"/>
        </w:tabs>
        <w:spacing w:after="0" w:line="240" w:lineRule="auto"/>
      </w:pPr>
      <w:r>
        <w:t xml:space="preserve">###### </w:t>
      </w:r>
      <w:r w:rsidR="00F835E2">
        <w:t xml:space="preserve">- </w:t>
      </w:r>
      <w:r>
        <w:t>Stats</w:t>
      </w:r>
      <w:r w:rsidR="00C77E25">
        <w:t xml:space="preserve"> &amp; </w:t>
      </w:r>
      <w:r>
        <w:t>Data viz</w:t>
      </w:r>
    </w:p>
    <w:p w14:paraId="29C6729C" w14:textId="733E87AE" w:rsidR="00E4224D" w:rsidRDefault="00E4224D" w:rsidP="008A4F6A">
      <w:pPr>
        <w:tabs>
          <w:tab w:val="left" w:pos="5480"/>
        </w:tabs>
        <w:spacing w:after="0" w:line="240" w:lineRule="auto"/>
      </w:pPr>
      <w:r>
        <w:t xml:space="preserve">###### </w:t>
      </w:r>
      <w:r w:rsidR="00F835E2">
        <w:t xml:space="preserve">- </w:t>
      </w:r>
      <w:r>
        <w:t>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223A2D66" w:rsidR="00AB2D4C" w:rsidRDefault="00AB2D4C" w:rsidP="00AB2D4C">
      <w:pPr>
        <w:tabs>
          <w:tab w:val="left" w:pos="5480"/>
        </w:tabs>
        <w:spacing w:after="0" w:line="240" w:lineRule="auto"/>
      </w:pPr>
      <w:r>
        <w:t xml:space="preserve">###### </w:t>
      </w:r>
      <w:r w:rsidR="00F835E2">
        <w:t xml:space="preserve">- </w:t>
      </w:r>
      <w:r>
        <w:t>Stratified train/test split</w:t>
      </w:r>
    </w:p>
    <w:p w14:paraId="54AB6735" w14:textId="01FEAF8E" w:rsidR="00AB2D4C" w:rsidRDefault="00AB2D4C" w:rsidP="00AB2D4C">
      <w:pPr>
        <w:tabs>
          <w:tab w:val="left" w:pos="5480"/>
        </w:tabs>
        <w:spacing w:after="0" w:line="240" w:lineRule="auto"/>
      </w:pPr>
      <w:r>
        <w:t xml:space="preserve">###### </w:t>
      </w:r>
      <w:r w:rsidR="00F835E2">
        <w:t xml:space="preserve">- </w:t>
      </w:r>
      <w:r>
        <w:t>Model training</w:t>
      </w:r>
    </w:p>
    <w:p w14:paraId="4EA34D78" w14:textId="2C241E5B" w:rsidR="00AB2D4C" w:rsidRDefault="00AB2D4C" w:rsidP="00AB2D4C">
      <w:pPr>
        <w:tabs>
          <w:tab w:val="left" w:pos="5480"/>
        </w:tabs>
        <w:spacing w:after="0" w:line="240" w:lineRule="auto"/>
      </w:pPr>
      <w:r>
        <w:t xml:space="preserve">###### </w:t>
      </w:r>
      <w:r w:rsidR="00F835E2">
        <w:t xml:space="preserve">- </w:t>
      </w:r>
      <w:r>
        <w:t>Prediction evaluation</w:t>
      </w:r>
    </w:p>
    <w:p w14:paraId="1AE5FC01" w14:textId="16D4A1F0" w:rsidR="000103B4" w:rsidRDefault="000103B4" w:rsidP="00AB2D4C">
      <w:pPr>
        <w:tabs>
          <w:tab w:val="left" w:pos="5480"/>
        </w:tabs>
        <w:spacing w:after="0" w:line="240" w:lineRule="auto"/>
      </w:pPr>
      <w:r>
        <w:t xml:space="preserve">###### </w:t>
      </w:r>
      <w:r w:rsidR="00F835E2">
        <w:t xml:space="preserve">- </w:t>
      </w:r>
      <w:r>
        <w:t>Conclusion</w:t>
      </w:r>
    </w:p>
    <w:p w14:paraId="28258E77" w14:textId="77777777" w:rsidR="00E51901" w:rsidRDefault="00E51901" w:rsidP="00E51901">
      <w:pPr>
        <w:tabs>
          <w:tab w:val="left" w:pos="5480"/>
        </w:tabs>
        <w:spacing w:after="0" w:line="240" w:lineRule="auto"/>
      </w:pPr>
      <w:r>
        <w:t>###### - Future directions</w:t>
      </w:r>
    </w:p>
    <w:p w14:paraId="37AAB907" w14:textId="74BFDF82" w:rsidR="00E51901" w:rsidRDefault="00E51901" w:rsidP="00AB2D4C">
      <w:pPr>
        <w:tabs>
          <w:tab w:val="left" w:pos="5480"/>
        </w:tabs>
        <w:spacing w:after="0" w:line="240" w:lineRule="auto"/>
      </w:pPr>
      <w:r>
        <w:t xml:space="preserve">###### - </w:t>
      </w:r>
      <w:r>
        <w:t>References</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0BD47EA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r w:rsidR="006C4340">
        <w:t>is rapidly</w:t>
      </w:r>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001A18F2"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E94A39">
        <w:t>VS</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r w:rsidR="00DB2E64">
        <w:t>.</w:t>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74BA583" w14:textId="31098138" w:rsidR="005E51DF" w:rsidRDefault="005E51DF" w:rsidP="003C7232">
      <w:pPr>
        <w:tabs>
          <w:tab w:val="left" w:pos="720"/>
        </w:tabs>
        <w:spacing w:after="0" w:line="240" w:lineRule="auto"/>
      </w:pPr>
      <w:r>
        <w:t xml:space="preserve">Summary of all methods </w:t>
      </w:r>
      <w:r w:rsidR="00C86575">
        <w:t xml:space="preserve">and their respective evaluation metrics </w:t>
      </w:r>
      <w:r>
        <w:t xml:space="preserve">from </w:t>
      </w:r>
      <w:r w:rsidR="00DB2E64">
        <w:t xml:space="preserve">my </w:t>
      </w:r>
      <w:r>
        <w:t>literature review</w:t>
      </w:r>
      <w:r w:rsidR="00DB2E64">
        <w:t>.</w:t>
      </w:r>
    </w:p>
    <w:p w14:paraId="3AE42C21" w14:textId="77777777" w:rsidR="005E51DF" w:rsidRDefault="005E51DF"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41229BE0" w:rsidR="00E739D4" w:rsidRDefault="00E739D4" w:rsidP="00E739D4">
      <w:pPr>
        <w:pStyle w:val="ListParagraph"/>
        <w:numPr>
          <w:ilvl w:val="0"/>
          <w:numId w:val="2"/>
        </w:numPr>
        <w:tabs>
          <w:tab w:val="left" w:pos="720"/>
        </w:tabs>
        <w:spacing w:after="0" w:line="240" w:lineRule="auto"/>
      </w:pPr>
      <w:r>
        <w:t xml:space="preserve">eTIV = Estimated Total </w:t>
      </w:r>
      <w:r w:rsidR="006C4340">
        <w:t>Intracranial</w:t>
      </w:r>
      <w:r>
        <w:t xml:space="preserve">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14383E6B"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C4340">
        <w:t xml:space="preserve">The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3ECE9EBA" w14:textId="77777777" w:rsidR="00880E1F" w:rsidRDefault="00880E1F" w:rsidP="00DE3485">
      <w:pPr>
        <w:tabs>
          <w:tab w:val="left" w:pos="5480"/>
        </w:tabs>
        <w:spacing w:after="0" w:line="240" w:lineRule="auto"/>
      </w:pP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252D0018" w14:textId="77777777" w:rsidR="00880E1F" w:rsidRDefault="00880E1F" w:rsidP="00DE3485">
      <w:pPr>
        <w:tabs>
          <w:tab w:val="left" w:pos="5480"/>
        </w:tabs>
        <w:spacing w:after="0" w:line="240" w:lineRule="auto"/>
      </w:pPr>
    </w:p>
    <w:p w14:paraId="3ECED896" w14:textId="1E479729" w:rsidR="00D913D0" w:rsidRDefault="00D913D0" w:rsidP="00DE3485">
      <w:pPr>
        <w:tabs>
          <w:tab w:val="left" w:pos="5480"/>
        </w:tabs>
        <w:spacing w:after="0" w:line="240" w:lineRule="auto"/>
      </w:pPr>
      <w:r>
        <w:t>SES</w:t>
      </w:r>
      <w:r w:rsidR="00347FCC">
        <w:t>,</w:t>
      </w:r>
      <w:r>
        <w:t xml:space="preserve">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w:t>
      </w:r>
      <w:r w:rsidR="006C4340">
        <w:t>is presumably</w:t>
      </w:r>
      <w:r>
        <w:t xml:space="preserve">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w:t>
      </w:r>
      <w:r w:rsidR="006C4340">
        <w:t>than</w:t>
      </w:r>
      <w:r w:rsidR="00072AD6">
        <w:t xml:space="preserve">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1584FE6"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w:t>
      </w:r>
      <w:r w:rsidR="006C4340">
        <w:t xml:space="preserve"> impairment levels</w:t>
      </w:r>
      <w:r w:rsidR="0085522C">
        <w:t>.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7D71A895"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74F0F785" w14:textId="77777777" w:rsidR="00034F97" w:rsidRDefault="00034F97" w:rsidP="00DE3485">
      <w:pPr>
        <w:tabs>
          <w:tab w:val="left" w:pos="5480"/>
        </w:tabs>
        <w:spacing w:after="0" w:line="240" w:lineRule="auto"/>
      </w:pP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2AFD3DAA"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w:t>
      </w:r>
      <w:r w:rsidR="006E17DD">
        <w:t>its</w:t>
      </w:r>
      <w:r>
        <w:t xml:space="preserve">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w:t>
      </w:r>
      <w:r w:rsidR="00FE1380">
        <w:t>should</w:t>
      </w:r>
      <w:r w:rsidR="000F3D28">
        <w:t xml:space="preserve">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36498666"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X_test.shape: (47, 8)</w:t>
      </w:r>
    </w:p>
    <w:p w14:paraId="06C698B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X_train.shape: (188, 8)</w:t>
      </w:r>
    </w:p>
    <w:p w14:paraId="6C0BC43C" w14:textId="77777777" w:rsid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y_test.shape: (47, 1)</w:t>
      </w:r>
    </w:p>
    <w:p w14:paraId="62225C79" w14:textId="1A741095" w:rsidR="00585895" w:rsidRPr="00034F97" w:rsidRDefault="00585895" w:rsidP="00034F97">
      <w:pPr>
        <w:pStyle w:val="ListParagraph"/>
        <w:numPr>
          <w:ilvl w:val="0"/>
          <w:numId w:val="2"/>
        </w:numPr>
        <w:spacing w:after="0" w:line="240" w:lineRule="auto"/>
        <w:rPr>
          <w:rFonts w:ascii="Consolas" w:eastAsia="Times New Roman" w:hAnsi="Consolas" w:cs="Times New Roman"/>
          <w:color w:val="333333"/>
          <w:kern w:val="0"/>
          <w:sz w:val="21"/>
          <w:szCs w:val="21"/>
          <w14:ligatures w14:val="none"/>
        </w:rPr>
      </w:pPr>
      <w:r w:rsidRPr="00034F97">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75F8CAE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 xml:space="preserve">My initial guess was that this should be easily solvable via Logistic </w:t>
      </w:r>
      <w:r w:rsidR="00FE1380">
        <w:t>Regression since</w:t>
      </w:r>
      <w:r w:rsidR="00632D67">
        <w:t xml:space="preserve"> that’s usually intended for yes/no binary values. But I didn’t want to limit</w:t>
      </w:r>
      <w:r w:rsidR="009C2C72">
        <w:t xml:space="preserve"> it</w:t>
      </w:r>
      <w:r w:rsidR="00632D67">
        <w:t xml:space="preserve"> to just one guess without evidence. </w:t>
      </w:r>
      <w:r w:rsidR="00FE1380">
        <w:t>So,</w:t>
      </w:r>
      <w:r w:rsidR="00632D67">
        <w:t xml:space="preserve">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398C01C7" w14:textId="5B22AA69" w:rsidR="00740F1B" w:rsidRDefault="00740F1B" w:rsidP="00740F1B">
      <w:pPr>
        <w:tabs>
          <w:tab w:val="left" w:pos="720"/>
        </w:tabs>
        <w:spacing w:after="0" w:line="240" w:lineRule="auto"/>
      </w:pPr>
      <w:r>
        <w:tab/>
        <w:t>Throughout the</w:t>
      </w:r>
      <w:r w:rsidR="002053B5">
        <w:t xml:space="preserve"> medical</w:t>
      </w:r>
      <w:r>
        <w:t xml:space="preserve"> literature, I saw that there were many differing methods used to gauge the accuracy of clinician or ML diagnostic methods. </w:t>
      </w:r>
      <w:r w:rsidR="00B93D04">
        <w:t xml:space="preserve">Each has </w:t>
      </w:r>
      <w:r w:rsidR="00FE1380">
        <w:t>its</w:t>
      </w:r>
      <w:r w:rsidR="00B93D04">
        <w:t xml:space="preserve"> own strengths and limitations. For example, the earliest method, the MMSE test, is supposed to be for patients who already have mild cognitive impairment (MCI), thus, eliminating a possible source of false positives from healthy controls. </w:t>
      </w:r>
      <w:r w:rsidR="002053B5">
        <w:t xml:space="preserve">Often </w:t>
      </w:r>
      <w:r w:rsidR="00FE1380">
        <w:t>medical</w:t>
      </w:r>
      <w:r w:rsidR="002053B5">
        <w:t xml:space="preserve"> literature only considered sensitivity and specificity for their evaluation metrics. </w:t>
      </w:r>
    </w:p>
    <w:p w14:paraId="284EFB25" w14:textId="2F1B8855" w:rsidR="000D1136" w:rsidRDefault="002053B5" w:rsidP="00740F1B">
      <w:pPr>
        <w:tabs>
          <w:tab w:val="left" w:pos="720"/>
        </w:tabs>
        <w:spacing w:after="0" w:line="240" w:lineRule="auto"/>
      </w:pPr>
      <w:r>
        <w:tab/>
        <w:t xml:space="preserve">In the ML literature, they often used accuracy and recall (which is also called sensitivity) as their evaluation metrics. </w:t>
      </w:r>
      <w:r w:rsidR="001364A9">
        <w:t xml:space="preserve">This </w:t>
      </w:r>
      <w:r w:rsidR="00FE1380">
        <w:t>considers</w:t>
      </w:r>
      <w:r w:rsidR="001364A9">
        <w:t xml:space="preserve"> a larger range of possibilities, including incorrect diagnoses which were partially excluded in the medical diagnostic methods. </w:t>
      </w:r>
      <w:r w:rsidR="00C2669F">
        <w:t>This is important to keep in mind because it is not always a direct apples-to-apples comparison between</w:t>
      </w:r>
      <w:r w:rsidR="00C45964">
        <w:t xml:space="preserve"> these</w:t>
      </w:r>
      <w:r w:rsidR="00C2669F">
        <w:t xml:space="preserve"> different methods. There could be a good argument for not including incorrect diagnoses or that many of the patients who would be incorrectly diagnosed in this case, </w:t>
      </w:r>
      <w:r w:rsidR="00E57FFC">
        <w:t>would</w:t>
      </w:r>
      <w:r w:rsidR="00C2669F">
        <w:t xml:space="preserve"> likely </w:t>
      </w:r>
      <w:r w:rsidR="00E57FFC">
        <w:t xml:space="preserve">be </w:t>
      </w:r>
      <w:r w:rsidR="00C2669F">
        <w:t>healthy, young patients, who most likely do not have Alzheimer’s and thus, would not seek medical help</w:t>
      </w:r>
      <w:r w:rsidR="00D046BE">
        <w:t xml:space="preserve"> for it.</w:t>
      </w:r>
      <w:r w:rsidR="000D1136">
        <w:t xml:space="preserve"> Some brain injuries or other mental disorders can overlap with AD symptoms and even cause it to progress faster in the case of injury, but they may be eliminated from consideration due to the</w:t>
      </w:r>
      <w:r w:rsidR="000A3101">
        <w:t xml:space="preserve"> patient’s</w:t>
      </w:r>
      <w:r w:rsidR="000D1136">
        <w:t xml:space="preserve"> age and cost of medical diagnostics for such an unlikely case. With that in mind, I’ve attempted to </w:t>
      </w:r>
      <w:r w:rsidR="006B6EDD">
        <w:t>consolidate</w:t>
      </w:r>
      <w:r w:rsidR="000D1136">
        <w:t xml:space="preserve"> the evaluation metrics across both medical and ML fields and gathered </w:t>
      </w:r>
      <w:r w:rsidR="00A4330A">
        <w:t>their</w:t>
      </w:r>
      <w:r w:rsidR="000D1136">
        <w:t xml:space="preserve"> definitions </w:t>
      </w:r>
      <w:r w:rsidR="009A1426">
        <w:t xml:space="preserve">and formulas </w:t>
      </w:r>
      <w:r w:rsidR="000D1136">
        <w:t xml:space="preserve">for the ones I had encountered in the literature and </w:t>
      </w:r>
      <w:r w:rsidR="00346BD2">
        <w:t xml:space="preserve">the ones I </w:t>
      </w:r>
      <w:r w:rsidR="000D1136">
        <w:t>applied to my own dataset evaluation.</w:t>
      </w:r>
    </w:p>
    <w:p w14:paraId="3AEB0880" w14:textId="46206619" w:rsidR="00AB0AF8" w:rsidRDefault="00AB0AF8" w:rsidP="00740F1B">
      <w:pPr>
        <w:tabs>
          <w:tab w:val="left" w:pos="720"/>
        </w:tabs>
        <w:spacing w:after="0" w:line="240" w:lineRule="auto"/>
      </w:pPr>
      <w:r>
        <w:lastRenderedPageBreak/>
        <w:tab/>
      </w:r>
      <w:r>
        <w:t xml:space="preserve">The Confusion Matrix (CM) relies </w:t>
      </w:r>
      <w:r w:rsidR="00B47F6B">
        <w:t>upon taking all the predicted values and comparing them to the actual known values. In my case, that would be the predictions for the CDR column and whether they were correct or not:</w:t>
      </w:r>
    </w:p>
    <w:p w14:paraId="0BC288CD" w14:textId="77777777" w:rsidR="00AB0AF8" w:rsidRDefault="00AB0AF8" w:rsidP="00DE3485">
      <w:pPr>
        <w:tabs>
          <w:tab w:val="left" w:pos="5480"/>
        </w:tabs>
        <w:spacing w:after="0" w:line="240" w:lineRule="auto"/>
      </w:pPr>
    </w:p>
    <w:p w14:paraId="1939CAA7" w14:textId="68F83895" w:rsidR="00B47F6B" w:rsidRDefault="00B47F6B" w:rsidP="00DE3485">
      <w:pPr>
        <w:tabs>
          <w:tab w:val="left" w:pos="5480"/>
        </w:tabs>
        <w:spacing w:after="0" w:line="240" w:lineRule="auto"/>
      </w:pPr>
      <w:r>
        <w:rPr>
          <w:noProof/>
        </w:rPr>
        <w:drawing>
          <wp:inline distT="0" distB="0" distL="0" distR="0" wp14:anchorId="53192E36" wp14:editId="22124652">
            <wp:extent cx="3390900" cy="2543175"/>
            <wp:effectExtent l="0" t="0" r="0" b="9525"/>
            <wp:docPr id="4829061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06150" name="Picture 1"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17B62D0E" w14:textId="77777777" w:rsidR="00AC1142" w:rsidRDefault="00AC1142" w:rsidP="00DE3485">
      <w:pPr>
        <w:tabs>
          <w:tab w:val="left" w:pos="5480"/>
        </w:tabs>
        <w:spacing w:after="0" w:line="240" w:lineRule="auto"/>
      </w:pPr>
    </w:p>
    <w:p w14:paraId="294CCE6F" w14:textId="651909EA" w:rsidR="003F4FDC" w:rsidRDefault="003F4FDC" w:rsidP="00DE3485">
      <w:pPr>
        <w:tabs>
          <w:tab w:val="left" w:pos="5480"/>
        </w:tabs>
        <w:spacing w:after="0" w:line="240" w:lineRule="auto"/>
      </w:pPr>
      <w:r>
        <w:fldChar w:fldCharType="begin"/>
      </w:r>
      <w:r>
        <w:instrText xml:space="preserve"> ADDIN ZOTERO_ITEM CSL_CITATION {"citationID":"G6pafvC2","properties":{"formattedCitation":"({\\i{}Taking the Confusion Out of Confusion Matrices | by Allison Ragan | Towards Data Science}, n.d.)","plainCitation":"(Taking the Confusion Out of Confusion Matrices | by Allison Ragan | Towards Data Science, n.d.)","noteIndex":0},"citationItems":[{"id":344,"uris":["http://zotero.org/users/8652042/items/LF9JEH7D"],"itemData":{"id":344,"type":"webpage","title":"Taking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3F4FDC">
        <w:rPr>
          <w:rFonts w:ascii="Calibri" w:hAnsi="Calibri" w:cs="Calibri"/>
          <w:kern w:val="0"/>
          <w:szCs w:val="24"/>
        </w:rPr>
        <w:t>(</w:t>
      </w:r>
      <w:r w:rsidRPr="003F4FDC">
        <w:rPr>
          <w:rFonts w:ascii="Calibri" w:hAnsi="Calibri" w:cs="Calibri"/>
          <w:i/>
          <w:iCs/>
          <w:kern w:val="0"/>
          <w:szCs w:val="24"/>
        </w:rPr>
        <w:t>Taking the Confusion Out of Confusion Matrices | by Allison Ragan | Towards Data Science</w:t>
      </w:r>
      <w:r w:rsidRPr="003F4FDC">
        <w:rPr>
          <w:rFonts w:ascii="Calibri" w:hAnsi="Calibri" w:cs="Calibri"/>
          <w:kern w:val="0"/>
          <w:szCs w:val="24"/>
        </w:rPr>
        <w:t>, n.d.)</w:t>
      </w:r>
      <w:r>
        <w:fldChar w:fldCharType="end"/>
      </w:r>
    </w:p>
    <w:p w14:paraId="66222F4E" w14:textId="77777777" w:rsidR="00B47F6B" w:rsidRDefault="00B47F6B"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7D5CFFA9" w14:textId="1A6D875F" w:rsidR="003F4FDC" w:rsidRDefault="00E14734" w:rsidP="003F4FDC">
      <w:pPr>
        <w:pStyle w:val="ListParagraph"/>
        <w:numPr>
          <w:ilvl w:val="0"/>
          <w:numId w:val="2"/>
        </w:numPr>
        <w:tabs>
          <w:tab w:val="left" w:pos="5480"/>
        </w:tabs>
        <w:spacing w:after="0" w:line="240" w:lineRule="auto"/>
      </w:pPr>
      <w:r w:rsidRPr="003F4FDC">
        <w:t>True Negative</w:t>
      </w:r>
      <w:r w:rsidR="003F4FDC">
        <w:t xml:space="preserve"> =</w:t>
      </w:r>
      <w:r w:rsidRPr="003F4FDC">
        <w:t xml:space="preserve"> TN</w:t>
      </w:r>
    </w:p>
    <w:p w14:paraId="26AFCAB8" w14:textId="4058748E" w:rsidR="003F4FDC" w:rsidRDefault="00E14734" w:rsidP="003F4FDC">
      <w:pPr>
        <w:pStyle w:val="ListParagraph"/>
        <w:numPr>
          <w:ilvl w:val="0"/>
          <w:numId w:val="2"/>
        </w:numPr>
        <w:tabs>
          <w:tab w:val="left" w:pos="5480"/>
        </w:tabs>
        <w:spacing w:after="0" w:line="240" w:lineRule="auto"/>
      </w:pPr>
      <w:r w:rsidRPr="003F4FDC">
        <w:t xml:space="preserve">False Positive </w:t>
      </w:r>
      <w:r w:rsidR="003F4FDC">
        <w:t xml:space="preserve">= </w:t>
      </w:r>
      <w:r w:rsidRPr="003F4FDC">
        <w:t>FP</w:t>
      </w:r>
      <w:r w:rsidR="005A53A0">
        <w:t xml:space="preserve"> </w:t>
      </w:r>
    </w:p>
    <w:p w14:paraId="5B3C691F" w14:textId="1C7C498C" w:rsidR="003F4FDC" w:rsidRDefault="00E14734" w:rsidP="003F4FDC">
      <w:pPr>
        <w:pStyle w:val="ListParagraph"/>
        <w:numPr>
          <w:ilvl w:val="0"/>
          <w:numId w:val="2"/>
        </w:numPr>
        <w:tabs>
          <w:tab w:val="left" w:pos="5480"/>
        </w:tabs>
        <w:spacing w:after="0" w:line="240" w:lineRule="auto"/>
      </w:pPr>
      <w:r w:rsidRPr="003F4FDC">
        <w:t>False Negative</w:t>
      </w:r>
      <w:r w:rsidR="003F4FDC">
        <w:t xml:space="preserve"> =</w:t>
      </w:r>
      <w:r w:rsidRPr="003F4FDC">
        <w:t xml:space="preserve"> FN </w:t>
      </w:r>
    </w:p>
    <w:p w14:paraId="7B7CDDCA" w14:textId="2942718C" w:rsidR="00B47F6B" w:rsidRPr="003F4FDC" w:rsidRDefault="00E14734" w:rsidP="003F4FDC">
      <w:pPr>
        <w:pStyle w:val="ListParagraph"/>
        <w:numPr>
          <w:ilvl w:val="0"/>
          <w:numId w:val="2"/>
        </w:numPr>
        <w:tabs>
          <w:tab w:val="left" w:pos="5480"/>
        </w:tabs>
        <w:spacing w:after="0" w:line="240" w:lineRule="auto"/>
      </w:pPr>
      <w:r w:rsidRPr="003F4FDC">
        <w:t xml:space="preserve">True Positive </w:t>
      </w:r>
      <w:r w:rsidR="003F4FDC">
        <w:t>=</w:t>
      </w:r>
      <w:r w:rsidRPr="003F4FDC">
        <w:t xml:space="preserve"> TP</w:t>
      </w:r>
    </w:p>
    <w:p w14:paraId="6F14EDC0" w14:textId="77777777" w:rsidR="00B47F6B" w:rsidRDefault="00B47F6B"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20669871"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 xml:space="preserve">TP / </w:t>
            </w:r>
            <w:r w:rsidR="003205DD">
              <w:rPr>
                <w:rFonts w:ascii="Calibri" w:eastAsia="Times New Roman" w:hAnsi="Calibri" w:cs="Calibri"/>
                <w:color w:val="000000"/>
                <w:kern w:val="0"/>
                <w14:ligatures w14:val="none"/>
              </w:rPr>
              <w:t>(</w:t>
            </w:r>
            <w:r w:rsidRPr="00E93342">
              <w:rPr>
                <w:rFonts w:ascii="Calibri" w:eastAsia="Times New Roman" w:hAnsi="Calibri" w:cs="Calibri"/>
                <w:color w:val="000000"/>
                <w:kern w:val="0"/>
                <w14:ligatures w14:val="none"/>
              </w:rPr>
              <w:t>TP + FP</w:t>
            </w:r>
            <w:r w:rsidR="003205DD">
              <w:rPr>
                <w:rFonts w:ascii="Calibri" w:eastAsia="Times New Roman" w:hAnsi="Calibri" w:cs="Calibri"/>
                <w:color w:val="000000"/>
                <w:kern w:val="0"/>
                <w14:ligatures w14:val="none"/>
              </w:rPr>
              <w:t>)</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lastRenderedPageBreak/>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rPr>
          <w:noProof/>
        </w:rPr>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4"/>
                    <a:stretch>
                      <a:fillRect/>
                    </a:stretch>
                  </pic:blipFill>
                  <pic:spPr>
                    <a:xfrm>
                      <a:off x="0" y="0"/>
                      <a:ext cx="4705350" cy="2924175"/>
                    </a:xfrm>
                    <a:prstGeom prst="rect">
                      <a:avLst/>
                    </a:prstGeom>
                  </pic:spPr>
                </pic:pic>
              </a:graphicData>
            </a:graphic>
          </wp:inline>
        </w:drawing>
      </w:r>
    </w:p>
    <w:p w14:paraId="5E48FD6A" w14:textId="77777777" w:rsidR="004B0084" w:rsidRDefault="004B0084" w:rsidP="00DE3485">
      <w:pPr>
        <w:tabs>
          <w:tab w:val="left" w:pos="5480"/>
        </w:tabs>
        <w:spacing w:after="0" w:line="240" w:lineRule="auto"/>
      </w:pPr>
    </w:p>
    <w:p w14:paraId="7F905264" w14:textId="77777777" w:rsidR="000103B4" w:rsidRDefault="000103B4" w:rsidP="000103B4">
      <w:pPr>
        <w:tabs>
          <w:tab w:val="left" w:pos="5480"/>
        </w:tabs>
        <w:spacing w:after="0" w:line="240" w:lineRule="auto"/>
      </w:pPr>
      <w:r>
        <w:t>###### Conclusion</w:t>
      </w:r>
    </w:p>
    <w:p w14:paraId="20378D80" w14:textId="7B4816C9" w:rsidR="0005032E" w:rsidRDefault="0005032E" w:rsidP="0073751F">
      <w:pPr>
        <w:tabs>
          <w:tab w:val="left" w:pos="720"/>
        </w:tabs>
        <w:spacing w:after="0" w:line="240" w:lineRule="auto"/>
      </w:pPr>
    </w:p>
    <w:p w14:paraId="010DCA52" w14:textId="7A51421E" w:rsidR="00066F2C" w:rsidRDefault="0005032E" w:rsidP="0073751F">
      <w:pPr>
        <w:tabs>
          <w:tab w:val="left" w:pos="720"/>
        </w:tabs>
        <w:spacing w:after="0" w:line="240" w:lineRule="auto"/>
      </w:pPr>
      <w:r>
        <w:tab/>
      </w:r>
      <w:r w:rsidR="004610AA">
        <w:t xml:space="preserve">The top models varied per run, but it looked like the top performers mostly shuffled their positions and the trend remains that SVM and Logistic Regression generally performed at or near the top </w:t>
      </w:r>
      <w:r w:rsidR="008B33DC">
        <w:t xml:space="preserve">of </w:t>
      </w:r>
      <w:r w:rsidR="004610AA">
        <w:t>most trials</w:t>
      </w:r>
      <w:r w:rsidR="009D30CD">
        <w:t xml:space="preserve"> when looking at the accuracy statistic. However, if we were to sort by Precision or F1, then the top </w:t>
      </w:r>
      <w:r w:rsidR="0037607C">
        <w:t>models w</w:t>
      </w:r>
      <w:r w:rsidR="009D30CD">
        <w:t xml:space="preserve">ould </w:t>
      </w:r>
      <w:r w:rsidR="0037607C">
        <w:t>differ.</w:t>
      </w:r>
    </w:p>
    <w:p w14:paraId="33F4A3D2" w14:textId="047EEFE5" w:rsidR="001F0610" w:rsidRDefault="00066F2C" w:rsidP="0073751F">
      <w:pPr>
        <w:tabs>
          <w:tab w:val="left" w:pos="720"/>
        </w:tabs>
        <w:spacing w:after="0" w:line="240" w:lineRule="auto"/>
      </w:pPr>
      <w:r>
        <w:tab/>
      </w:r>
      <w:r w:rsidR="009D30CD">
        <w:t xml:space="preserve">It’s hard to give an exact single model recommendation for </w:t>
      </w:r>
      <w:r w:rsidR="006C0C64">
        <w:t>which</w:t>
      </w:r>
      <w:r w:rsidR="009D30CD">
        <w:t xml:space="preserve"> is best in all scenarios</w:t>
      </w:r>
      <w:r w:rsidR="00B83BF2">
        <w:t xml:space="preserve">. </w:t>
      </w:r>
      <w:r w:rsidR="009D30CD">
        <w:t>I suppose it would depend on the patient</w:t>
      </w:r>
      <w:r w:rsidR="003F2E94">
        <w:t xml:space="preserve">, </w:t>
      </w:r>
      <w:r w:rsidR="009D30CD">
        <w:t xml:space="preserve">their </w:t>
      </w:r>
      <w:r w:rsidR="003F2E94">
        <w:t xml:space="preserve">medical </w:t>
      </w:r>
      <w:r w:rsidR="009D30CD">
        <w:t xml:space="preserve">history and if clinicians are worried about the chance of false positive diagnoses. Since the OASIS dataset included healthy controls, my training should have taught the ML models to differentiate both healthy and AD patients, </w:t>
      </w:r>
      <w:r w:rsidR="00FE1380">
        <w:t>whereas</w:t>
      </w:r>
      <w:r w:rsidR="009D30CD">
        <w:t xml:space="preserve"> older methods may have depended on weeding out healthy patients </w:t>
      </w:r>
      <w:r w:rsidR="00C975EE">
        <w:t>first,</w:t>
      </w:r>
      <w:r w:rsidR="009D30CD">
        <w:t xml:space="preserve"> thus</w:t>
      </w:r>
      <w:r w:rsidR="00C975EE">
        <w:t>,</w:t>
      </w:r>
      <w:r w:rsidR="009D30CD">
        <w:t xml:space="preserve"> improving the odds of a correct diagnosis. But I think these initial results are promising for ML diagnostic methods in general. High accuracy, high precision, high recall and</w:t>
      </w:r>
      <w:r w:rsidR="00BB496D">
        <w:t xml:space="preserve"> high</w:t>
      </w:r>
      <w:r w:rsidR="009D30CD">
        <w:t xml:space="preserve"> F1 scores can be achieved with multiple ML models placing them at or near the top percentiles of human doctors with </w:t>
      </w:r>
      <w:r w:rsidR="00DE526C">
        <w:t xml:space="preserve">many </w:t>
      </w:r>
      <w:r w:rsidR="009D30CD">
        <w:t xml:space="preserve">years of experience. </w:t>
      </w:r>
    </w:p>
    <w:p w14:paraId="7FE40DFC" w14:textId="05206A99" w:rsidR="006A1401" w:rsidRDefault="001F0610" w:rsidP="0073751F">
      <w:pPr>
        <w:tabs>
          <w:tab w:val="left" w:pos="720"/>
        </w:tabs>
        <w:spacing w:after="0" w:line="240" w:lineRule="auto"/>
      </w:pPr>
      <w:r>
        <w:tab/>
      </w:r>
      <w:r w:rsidR="00392B7E">
        <w:t xml:space="preserve">Although, it should be noted that the top human doctors still outperform </w:t>
      </w:r>
      <w:r w:rsidR="00FE1380">
        <w:t>all</w:t>
      </w:r>
      <w:r w:rsidR="00392B7E">
        <w:t xml:space="preserve"> the models I tested here. ML diagnostics would not be for replacing human doctors, but instead, could be a helpful objective second set of eyes assisting doctors. Confidence scores in the ML diagnostic</w:t>
      </w:r>
      <w:r w:rsidR="004B02D1">
        <w:t>s,</w:t>
      </w:r>
      <w:r w:rsidR="00392B7E">
        <w:t xml:space="preserve"> as well as</w:t>
      </w:r>
      <w:r w:rsidR="00DE496E">
        <w:t xml:space="preserve"> </w:t>
      </w:r>
      <w:r w:rsidR="00392B7E">
        <w:t>feature importance for why a certain prediction was made, could</w:t>
      </w:r>
      <w:r w:rsidR="00FE6F40">
        <w:t xml:space="preserve"> be added which would be</w:t>
      </w:r>
      <w:r w:rsidR="00392B7E">
        <w:t xml:space="preserve"> helpful in confirming a doctor’s prediction or convincing them to reevaluate a patient who was misdiagnosed. </w:t>
      </w:r>
      <w:r>
        <w:t xml:space="preserve">This could also be helpful in </w:t>
      </w:r>
      <w:r w:rsidR="00726357">
        <w:t>guiding</w:t>
      </w:r>
      <w:r>
        <w:t xml:space="preserve"> future research whose results could be added to existing tests and reevaluated to see the change in improvement of diagnostic accuracy. </w:t>
      </w:r>
    </w:p>
    <w:p w14:paraId="2A13B492" w14:textId="77777777" w:rsidR="006A1401" w:rsidRDefault="006A1401" w:rsidP="000103B4">
      <w:pPr>
        <w:tabs>
          <w:tab w:val="left" w:pos="5480"/>
        </w:tabs>
        <w:spacing w:after="0" w:line="240" w:lineRule="auto"/>
      </w:pPr>
    </w:p>
    <w:p w14:paraId="5EB5B5F8" w14:textId="77777777" w:rsidR="000103B4" w:rsidRDefault="000103B4" w:rsidP="000103B4">
      <w:pPr>
        <w:tabs>
          <w:tab w:val="left" w:pos="5480"/>
        </w:tabs>
        <w:spacing w:after="0" w:line="240" w:lineRule="auto"/>
      </w:pPr>
      <w:r>
        <w:t>###### Future directions</w:t>
      </w:r>
    </w:p>
    <w:p w14:paraId="506AC8DC" w14:textId="77777777" w:rsidR="000A3F10" w:rsidRDefault="000A3F10" w:rsidP="000103B4">
      <w:pPr>
        <w:tabs>
          <w:tab w:val="left" w:pos="5480"/>
        </w:tabs>
        <w:spacing w:after="0" w:line="240" w:lineRule="auto"/>
      </w:pPr>
    </w:p>
    <w:p w14:paraId="72D42371" w14:textId="06D2A4BD" w:rsidR="00B4398D" w:rsidRDefault="000A3F10" w:rsidP="000A3F10">
      <w:pPr>
        <w:tabs>
          <w:tab w:val="left" w:pos="720"/>
        </w:tabs>
        <w:spacing w:after="0" w:line="240" w:lineRule="auto"/>
      </w:pPr>
      <w:r>
        <w:lastRenderedPageBreak/>
        <w:tab/>
      </w:r>
      <w:r>
        <w:t>I should take a moment to point out possible sources of errors: randomization of my data during stratified splitting result</w:t>
      </w:r>
      <w:r w:rsidR="00A24757">
        <w:t>ed</w:t>
      </w:r>
      <w:r>
        <w:t xml:space="preserve"> in different top algorithm results by the end. Although I attempted to set a pseudo-random seed, somewhere it was still randomizing it</w:t>
      </w:r>
      <w:r w:rsidR="0030240F">
        <w:t xml:space="preserve"> </w:t>
      </w:r>
      <w:r>
        <w:t xml:space="preserve">and I could not identify where. </w:t>
      </w:r>
      <w:r w:rsidR="0030240F">
        <w:t xml:space="preserve">As a result, I can’t say definitively that </w:t>
      </w:r>
      <w:r>
        <w:t>SVM and Logistic Regression methods are always the top perform</w:t>
      </w:r>
      <w:r w:rsidR="008E4850">
        <w:t>ing models</w:t>
      </w:r>
      <w:r>
        <w:t>.</w:t>
      </w:r>
      <w:r w:rsidR="008E4850">
        <w:t xml:space="preserve"> Additionally, I applied the Standard Scaler from scikit-learn, but this may not have been the best way to scale my data. Looking at the literature and my EDA histograms, I believe that the anatomically derived values of ASF, eTIV, and nWBV may have already been normalized in the process of deriving these values from the brain scans. Furthermore, the columns can be divided in</w:t>
      </w:r>
      <w:r w:rsidR="00C94D19">
        <w:t>to</w:t>
      </w:r>
      <w:r w:rsidR="008E4850">
        <w:t xml:space="preserve"> continuous numerical values VS discrete numerical values (where the numbers were binning subgroups of the column together). Perhaps I should be scaling each of these </w:t>
      </w:r>
      <w:r w:rsidR="00C94D19">
        <w:t xml:space="preserve">groups </w:t>
      </w:r>
      <w:r w:rsidR="008E4850">
        <w:t xml:space="preserve">differently. </w:t>
      </w:r>
    </w:p>
    <w:p w14:paraId="4159AA58" w14:textId="169A3665" w:rsidR="00C94D19" w:rsidRDefault="00C94D19" w:rsidP="000A3F10">
      <w:pPr>
        <w:tabs>
          <w:tab w:val="left" w:pos="720"/>
        </w:tabs>
        <w:spacing w:after="0" w:line="240" w:lineRule="auto"/>
      </w:pPr>
      <w:r>
        <w:tab/>
        <w:t xml:space="preserve">Additional changes I think could be applied </w:t>
      </w:r>
      <w:r w:rsidR="00FE1380">
        <w:t>to</w:t>
      </w:r>
      <w:r>
        <w:t xml:space="preserve"> my current dataset that would be helpful for refining my model would be hypertuning. If I take the top models and hypertune through something like scikit-learn’s `GridSearchCV` method</w:t>
      </w:r>
      <w:r w:rsidR="0081093B">
        <w:t xml:space="preserve">, it should be able </w:t>
      </w:r>
      <w:r>
        <w:t>to optimize the ML parameters for each model</w:t>
      </w:r>
      <w:r w:rsidR="0081093B">
        <w:t xml:space="preserve"> and slightly improve the scores.</w:t>
      </w:r>
      <w:r>
        <w:t xml:space="preserve"> I think it may also be possible to try multi-class classification algorithms instead, with the focus being on the severity and stage of AD progression. </w:t>
      </w:r>
      <w:r w:rsidR="00E816D2">
        <w:t xml:space="preserve">Instead of regrouping the CDR column into demented VS non-demented patients, I could leave the original labels and attempt to predict those labels. However, the data gets much </w:t>
      </w:r>
      <w:r w:rsidR="000F4D6F">
        <w:t>sparser</w:t>
      </w:r>
      <w:r w:rsidR="00E816D2">
        <w:t xml:space="preserve"> the further advanced the patient’s AD is. </w:t>
      </w:r>
      <w:r w:rsidR="00B171C1">
        <w:t xml:space="preserve">My worry is that there will not be enough data to train on and that the prediction evaluations would take massive hits to performance as a result. </w:t>
      </w:r>
      <w:r w:rsidR="000F4D6F">
        <w:t xml:space="preserve">Although, it should probably have high confidence in declaring patients in the nondemented category instead since they already make up the majority of the dataset. </w:t>
      </w:r>
      <w:r w:rsidR="00477CCE">
        <w:t xml:space="preserve">One of the ML research groups used Adaboost and got much more favorable results with it than most of the models I had used. Adaboost supposedly works well with sparse data, which could be something I can try. </w:t>
      </w:r>
      <w:r w:rsidR="00C11709">
        <w:t>I’d also like to try converting this into an interactive web app using Streamlit.</w:t>
      </w:r>
    </w:p>
    <w:p w14:paraId="06721E8C" w14:textId="12646BDB" w:rsidR="007E0412" w:rsidRDefault="00623B48" w:rsidP="0025343B">
      <w:pPr>
        <w:tabs>
          <w:tab w:val="left" w:pos="720"/>
        </w:tabs>
        <w:spacing w:after="0" w:line="240" w:lineRule="auto"/>
      </w:pPr>
      <w:r>
        <w:tab/>
      </w:r>
      <w:r w:rsidR="002208CA">
        <w:t xml:space="preserve">Other directions would require more data than what I currently have. The OASIS-1 Cross-sectional dataset I used was 1 of 4 OASIS datasets. The other part of OASIS-1 was for Longitudinal data and patients who came back for follow-up brain scans. </w:t>
      </w:r>
      <w:r w:rsidR="0010146F">
        <w:t xml:space="preserve">The literature pointed out that MMSE was not particularly accurate when used alone, but suggested that in combination with other diagnostic methods or long-term MMSE testing, it could better detect AD or the turning point when a patient suddenly begins an accelerated cognitive decline into AD </w:t>
      </w:r>
      <w:r w:rsidR="0010146F">
        <w:fldChar w:fldCharType="begin"/>
      </w:r>
      <w:r w:rsidR="0010146F">
        <w:instrText xml:space="preserve"> ADDIN ZOTERO_ITEM CSL_CITATION {"citationID":"Sli86S4b","properties":{"formattedCitation":"(Arevalo-Rodriguez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10146F">
        <w:fldChar w:fldCharType="separate"/>
      </w:r>
      <w:r w:rsidR="0010146F" w:rsidRPr="0010146F">
        <w:rPr>
          <w:rFonts w:ascii="Calibri" w:hAnsi="Calibri" w:cs="Calibri"/>
        </w:rPr>
        <w:t>(Arevalo-Rodriguez et al., 2021)</w:t>
      </w:r>
      <w:r w:rsidR="0010146F">
        <w:fldChar w:fldCharType="end"/>
      </w:r>
      <w:r w:rsidR="0010146F">
        <w:t xml:space="preserve">. This should be much more evident in a Longitudinal study. I also had </w:t>
      </w:r>
      <w:r w:rsidR="00FE1380">
        <w:t>not</w:t>
      </w:r>
      <w:r w:rsidR="0010146F">
        <w:t xml:space="preserve"> used any of the MRI brain scan images in my analysis. These could be helpful for a Computer Vision (CV) based approach or one which combines the CSV textual</w:t>
      </w:r>
      <w:r w:rsidR="00C4607F">
        <w:t xml:space="preserve"> </w:t>
      </w:r>
      <w:r w:rsidR="0010146F">
        <w:t xml:space="preserve">data along with CV </w:t>
      </w:r>
      <w:r w:rsidR="00B175C2">
        <w:t xml:space="preserve">image </w:t>
      </w:r>
      <w:r w:rsidR="0010146F">
        <w:t xml:space="preserve">analysis. </w:t>
      </w:r>
      <w:r w:rsidR="00DB0CF8">
        <w:t xml:space="preserve">Of course, the best future approach would probably be just to get more data of any kind. The OASIS datasets are intended to be used separately except for one set which is explicitly stated to be able to be combined with any other dataset. </w:t>
      </w:r>
      <w:r w:rsidR="00D517AB">
        <w:t xml:space="preserve">But all 4 of the OASIS datasets right now include only a few hundred patients each. My EDA histograms also revealed that there were 0 patients </w:t>
      </w:r>
      <w:r w:rsidR="001A28B4">
        <w:t xml:space="preserve">in the dataset </w:t>
      </w:r>
      <w:r w:rsidR="00D517AB">
        <w:t xml:space="preserve">who had made it to the last stages of AD severity. I think collecting more data from each stage of AD, as well as the many different subtype combinations of AD, would be the biggest challenge in the field. </w:t>
      </w:r>
      <w:r w:rsidR="00857C4A">
        <w:t xml:space="preserve">As it stands, the same issues of not enough training data to improve accuracy or get good accuracy with multi-class classification algorithms would probably hamper efforts with these datasets as well. </w:t>
      </w:r>
    </w:p>
    <w:p w14:paraId="4D598D58" w14:textId="77777777" w:rsidR="000103B4" w:rsidRDefault="000103B4" w:rsidP="00DE3485">
      <w:pPr>
        <w:tabs>
          <w:tab w:val="left" w:pos="5480"/>
        </w:tabs>
        <w:spacing w:after="0" w:line="240" w:lineRule="auto"/>
      </w:pPr>
    </w:p>
    <w:p w14:paraId="5BE41574" w14:textId="62D8F665" w:rsidR="00050FEE" w:rsidRDefault="00EF3B51" w:rsidP="00DE3485">
      <w:pPr>
        <w:tabs>
          <w:tab w:val="left" w:pos="5480"/>
        </w:tabs>
        <w:spacing w:after="0" w:line="240" w:lineRule="auto"/>
      </w:pPr>
      <w:r>
        <w:t>##### References</w:t>
      </w:r>
    </w:p>
    <w:p w14:paraId="0BED8D58" w14:textId="77777777" w:rsidR="00EF3B51" w:rsidRDefault="00EF3B51" w:rsidP="00DE3485">
      <w:pPr>
        <w:tabs>
          <w:tab w:val="left" w:pos="5480"/>
        </w:tabs>
        <w:spacing w:after="0" w:line="240" w:lineRule="auto"/>
      </w:pPr>
    </w:p>
    <w:p w14:paraId="33C10DFF" w14:textId="23C1A5F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Arevalo-Rodriguez, I., Smailagic, N., Roqué-Figuls, M., Ciapponi, A., Sanchez-Perez, E., Giannakou, A., Pedraza, O. L., Bonfill Cosp, X., &amp; Cullum, S. (2021). Mini-Mental State Examination (MMSE) for the early detection of dementia in people with mild cognitive </w:t>
      </w:r>
      <w:r>
        <w:rPr>
          <w:rFonts w:ascii="Times New Roman" w:hAnsi="Times New Roman" w:cs="Times New Roman"/>
          <w:kern w:val="0"/>
          <w:sz w:val="24"/>
          <w:szCs w:val="24"/>
        </w:rPr>
        <w:lastRenderedPageBreak/>
        <w:t xml:space="preserve">impairment (MCI). </w:t>
      </w:r>
      <w:r>
        <w:rPr>
          <w:rFonts w:ascii="Times New Roman" w:hAnsi="Times New Roman" w:cs="Times New Roman"/>
          <w:i/>
          <w:iCs/>
          <w:kern w:val="0"/>
          <w:sz w:val="24"/>
          <w:szCs w:val="24"/>
        </w:rPr>
        <w:t>Cochrane Database of Systematic Reviews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2021</w:t>
      </w:r>
      <w:r>
        <w:rPr>
          <w:rFonts w:ascii="Times New Roman" w:hAnsi="Times New Roman" w:cs="Times New Roman"/>
          <w:kern w:val="0"/>
          <w:sz w:val="24"/>
          <w:szCs w:val="24"/>
        </w:rPr>
        <w:t xml:space="preserve">(7). </w:t>
      </w:r>
      <w:hyperlink r:id="rId25" w:history="1">
        <w:r w:rsidR="0020175B" w:rsidRPr="0051623A">
          <w:rPr>
            <w:rStyle w:val="Hyperlink"/>
            <w:rFonts w:ascii="Times New Roman" w:hAnsi="Times New Roman" w:cs="Times New Roman"/>
            <w:kern w:val="0"/>
            <w:sz w:val="24"/>
            <w:szCs w:val="24"/>
          </w:rPr>
          <w:t>https://doi.org/10.1002/14651858.CD010783.pub3</w:t>
        </w:r>
      </w:hyperlink>
      <w:r w:rsidR="0020175B">
        <w:rPr>
          <w:rFonts w:ascii="Times New Roman" w:hAnsi="Times New Roman" w:cs="Times New Roman"/>
          <w:kern w:val="0"/>
          <w:sz w:val="24"/>
          <w:szCs w:val="24"/>
        </w:rPr>
        <w:t xml:space="preserve"> </w:t>
      </w:r>
    </w:p>
    <w:p w14:paraId="1042CA61"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Beach, T. G., Monsell, S. E., Phillips, L. E., &amp; Kukull, W. (2012). Accuracy of the Clinical Diagnosis of Alzheimer Disease at National Institute on Aging Alzheimer Disease Centers, 2005Y2010. </w:t>
      </w:r>
      <w:r>
        <w:rPr>
          <w:rFonts w:ascii="Times New Roman" w:hAnsi="Times New Roman" w:cs="Times New Roman"/>
          <w:i/>
          <w:iCs/>
          <w:kern w:val="0"/>
          <w:sz w:val="24"/>
          <w:szCs w:val="24"/>
        </w:rPr>
        <w:t>J Neuropathol Exp Neurol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71</w:t>
      </w:r>
      <w:r>
        <w:rPr>
          <w:rFonts w:ascii="Times New Roman" w:hAnsi="Times New Roman" w:cs="Times New Roman"/>
          <w:kern w:val="0"/>
          <w:sz w:val="24"/>
          <w:szCs w:val="24"/>
        </w:rPr>
        <w:t>(4).</w:t>
      </w:r>
    </w:p>
    <w:p w14:paraId="6D5A9D70" w14:textId="7FB14AAB"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Ben Ammar, R., &amp; Ben Ayed, Y. (2018). Speech Processing for Early Alzheimer Disease Diagnosis: Machine Learning Based Approach. </w:t>
      </w:r>
      <w:r>
        <w:rPr>
          <w:rFonts w:ascii="Times New Roman" w:hAnsi="Times New Roman" w:cs="Times New Roman"/>
          <w:i/>
          <w:iCs/>
          <w:kern w:val="0"/>
          <w:sz w:val="24"/>
          <w:szCs w:val="24"/>
        </w:rPr>
        <w:t>2018 IEEE/ACS 15th International Conference on Computer Systems and Applications (AICCSA)</w:t>
      </w:r>
      <w:r>
        <w:rPr>
          <w:rFonts w:ascii="Times New Roman" w:hAnsi="Times New Roman" w:cs="Times New Roman"/>
          <w:kern w:val="0"/>
          <w:sz w:val="24"/>
          <w:szCs w:val="24"/>
        </w:rPr>
        <w:t xml:space="preserve">, 1–8. </w:t>
      </w:r>
      <w:hyperlink r:id="rId26" w:history="1">
        <w:r w:rsidR="0020175B" w:rsidRPr="0051623A">
          <w:rPr>
            <w:rStyle w:val="Hyperlink"/>
            <w:rFonts w:ascii="Times New Roman" w:hAnsi="Times New Roman" w:cs="Times New Roman"/>
            <w:kern w:val="0"/>
            <w:sz w:val="24"/>
            <w:szCs w:val="24"/>
          </w:rPr>
          <w:t>https://doi.org/10.1109/AICCSA.2018.8612831</w:t>
        </w:r>
      </w:hyperlink>
      <w:r w:rsidR="0020175B">
        <w:rPr>
          <w:rFonts w:ascii="Times New Roman" w:hAnsi="Times New Roman" w:cs="Times New Roman"/>
          <w:kern w:val="0"/>
          <w:sz w:val="24"/>
          <w:szCs w:val="24"/>
        </w:rPr>
        <w:t xml:space="preserve"> </w:t>
      </w:r>
    </w:p>
    <w:p w14:paraId="4856C65A" w14:textId="36F4856C"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Boysen, J. (n.d.). </w:t>
      </w:r>
      <w:r>
        <w:rPr>
          <w:rFonts w:ascii="Times New Roman" w:hAnsi="Times New Roman" w:cs="Times New Roman"/>
          <w:i/>
          <w:iCs/>
          <w:kern w:val="0"/>
          <w:sz w:val="24"/>
          <w:szCs w:val="24"/>
        </w:rPr>
        <w:t>MRI and Alzheimers</w:t>
      </w:r>
      <w:r>
        <w:rPr>
          <w:rFonts w:ascii="Times New Roman" w:hAnsi="Times New Roman" w:cs="Times New Roman"/>
          <w:kern w:val="0"/>
          <w:sz w:val="24"/>
          <w:szCs w:val="24"/>
        </w:rPr>
        <w:t xml:space="preserve">. Kaggle. Retrieved May 11, 2023, from </w:t>
      </w:r>
      <w:hyperlink r:id="rId27" w:history="1">
        <w:r w:rsidR="0020175B" w:rsidRPr="0051623A">
          <w:rPr>
            <w:rStyle w:val="Hyperlink"/>
            <w:rFonts w:ascii="Times New Roman" w:hAnsi="Times New Roman" w:cs="Times New Roman"/>
            <w:kern w:val="0"/>
            <w:sz w:val="24"/>
            <w:szCs w:val="24"/>
          </w:rPr>
          <w:t>https://www.kaggle.com/datasets/jboysen/mri-and-alzheimers</w:t>
        </w:r>
      </w:hyperlink>
      <w:r w:rsidR="0020175B">
        <w:rPr>
          <w:rFonts w:ascii="Times New Roman" w:hAnsi="Times New Roman" w:cs="Times New Roman"/>
          <w:kern w:val="0"/>
          <w:sz w:val="24"/>
          <w:szCs w:val="24"/>
        </w:rPr>
        <w:t xml:space="preserve"> </w:t>
      </w:r>
    </w:p>
    <w:p w14:paraId="44043D7E" w14:textId="20983D1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Breijyeh, Z., &amp; Karaman, R. (2020). Comprehensive Review on Alzheimer’s Disease: Causes and Treatment. </w:t>
      </w:r>
      <w:r>
        <w:rPr>
          <w:rFonts w:ascii="Times New Roman" w:hAnsi="Times New Roman" w:cs="Times New Roman"/>
          <w:i/>
          <w:iCs/>
          <w:kern w:val="0"/>
          <w:sz w:val="24"/>
          <w:szCs w:val="24"/>
        </w:rPr>
        <w:t>Molecules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25</w:t>
      </w:r>
      <w:r>
        <w:rPr>
          <w:rFonts w:ascii="Times New Roman" w:hAnsi="Times New Roman" w:cs="Times New Roman"/>
          <w:kern w:val="0"/>
          <w:sz w:val="24"/>
          <w:szCs w:val="24"/>
        </w:rPr>
        <w:t xml:space="preserve">(24), 5789. </w:t>
      </w:r>
      <w:hyperlink r:id="rId28" w:history="1">
        <w:r w:rsidR="0020175B" w:rsidRPr="0051623A">
          <w:rPr>
            <w:rStyle w:val="Hyperlink"/>
            <w:rFonts w:ascii="Times New Roman" w:hAnsi="Times New Roman" w:cs="Times New Roman"/>
            <w:kern w:val="0"/>
            <w:sz w:val="24"/>
            <w:szCs w:val="24"/>
          </w:rPr>
          <w:t>https://doi.org/10.3390/molecules25245789</w:t>
        </w:r>
      </w:hyperlink>
      <w:r w:rsidR="0020175B">
        <w:rPr>
          <w:rFonts w:ascii="Times New Roman" w:hAnsi="Times New Roman" w:cs="Times New Roman"/>
          <w:kern w:val="0"/>
          <w:sz w:val="24"/>
          <w:szCs w:val="24"/>
        </w:rPr>
        <w:t xml:space="preserve"> </w:t>
      </w:r>
    </w:p>
    <w:p w14:paraId="71B7D998" w14:textId="67814B2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Buckner, R. L., Head, D., Parker, J., Fotenos, A. F., Marcus, D., Morris, J. C., &amp; Snyder, A. Z. (2004). A unified approach for morphometric and functional data analysis in young, old, and demented adults using automated atlas-based head size normalization: Reliability and validation against manual measurement of total intracranial volume. </w:t>
      </w:r>
      <w:r>
        <w:rPr>
          <w:rFonts w:ascii="Times New Roman" w:hAnsi="Times New Roman" w:cs="Times New Roman"/>
          <w:i/>
          <w:iCs/>
          <w:kern w:val="0"/>
          <w:sz w:val="24"/>
          <w:szCs w:val="24"/>
        </w:rPr>
        <w:t>NeuroImage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 xml:space="preserve">(2), 724–738. </w:t>
      </w:r>
      <w:hyperlink r:id="rId29" w:history="1">
        <w:r w:rsidR="0020175B" w:rsidRPr="0051623A">
          <w:rPr>
            <w:rStyle w:val="Hyperlink"/>
            <w:rFonts w:ascii="Times New Roman" w:hAnsi="Times New Roman" w:cs="Times New Roman"/>
            <w:kern w:val="0"/>
            <w:sz w:val="24"/>
            <w:szCs w:val="24"/>
          </w:rPr>
          <w:t>https://doi.org/10.1016/j.neuroimage.2004.06.018</w:t>
        </w:r>
      </w:hyperlink>
      <w:r w:rsidR="0020175B">
        <w:rPr>
          <w:rFonts w:ascii="Times New Roman" w:hAnsi="Times New Roman" w:cs="Times New Roman"/>
          <w:kern w:val="0"/>
          <w:sz w:val="24"/>
          <w:szCs w:val="24"/>
        </w:rPr>
        <w:t xml:space="preserve"> </w:t>
      </w:r>
    </w:p>
    <w:p w14:paraId="35239FB8" w14:textId="35C8EB03"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Deva, G. (2022). Diagnosis Of Alzheimer’s Disease Using Machine Learning. </w:t>
      </w:r>
      <w:r>
        <w:rPr>
          <w:rFonts w:ascii="Times New Roman" w:hAnsi="Times New Roman" w:cs="Times New Roman"/>
          <w:i/>
          <w:iCs/>
          <w:kern w:val="0"/>
          <w:sz w:val="24"/>
          <w:szCs w:val="24"/>
        </w:rPr>
        <w:t>International Journal of Engineering Technology and Management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xml:space="preserve">(6). </w:t>
      </w:r>
      <w:hyperlink r:id="rId30" w:history="1">
        <w:r w:rsidR="0020175B" w:rsidRPr="0051623A">
          <w:rPr>
            <w:rStyle w:val="Hyperlink"/>
            <w:rFonts w:ascii="Times New Roman" w:hAnsi="Times New Roman" w:cs="Times New Roman"/>
            <w:kern w:val="0"/>
            <w:sz w:val="24"/>
            <w:szCs w:val="24"/>
          </w:rPr>
          <w:t>https://doi.org/DOI:10.46647/ijetms.2022.v06i06.110</w:t>
        </w:r>
      </w:hyperlink>
      <w:r w:rsidR="0020175B">
        <w:rPr>
          <w:rFonts w:ascii="Times New Roman" w:hAnsi="Times New Roman" w:cs="Times New Roman"/>
          <w:kern w:val="0"/>
          <w:sz w:val="24"/>
          <w:szCs w:val="24"/>
        </w:rPr>
        <w:t xml:space="preserve"> </w:t>
      </w:r>
    </w:p>
    <w:p w14:paraId="32B3274B" w14:textId="678B46C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Folstein, M. F., Folstein, S. E., &amp; McHugh, P. R. (1975). “Mini-mental state.” </w:t>
      </w:r>
      <w:r>
        <w:rPr>
          <w:rFonts w:ascii="Times New Roman" w:hAnsi="Times New Roman" w:cs="Times New Roman"/>
          <w:i/>
          <w:iCs/>
          <w:kern w:val="0"/>
          <w:sz w:val="24"/>
          <w:szCs w:val="24"/>
        </w:rPr>
        <w:t>Journal of Psychiatric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 xml:space="preserve">(3), 189–198. </w:t>
      </w:r>
      <w:hyperlink r:id="rId31" w:history="1">
        <w:r w:rsidR="0077179F" w:rsidRPr="0051623A">
          <w:rPr>
            <w:rStyle w:val="Hyperlink"/>
            <w:rFonts w:ascii="Times New Roman" w:hAnsi="Times New Roman" w:cs="Times New Roman"/>
            <w:kern w:val="0"/>
            <w:sz w:val="24"/>
            <w:szCs w:val="24"/>
          </w:rPr>
          <w:t>https://doi.org/10.1016/0022-3956(75)90026-6</w:t>
        </w:r>
      </w:hyperlink>
      <w:r w:rsidR="0077179F">
        <w:rPr>
          <w:rFonts w:ascii="Times New Roman" w:hAnsi="Times New Roman" w:cs="Times New Roman"/>
          <w:kern w:val="0"/>
          <w:sz w:val="24"/>
          <w:szCs w:val="24"/>
        </w:rPr>
        <w:t xml:space="preserve"> </w:t>
      </w:r>
    </w:p>
    <w:p w14:paraId="1DF72CBC" w14:textId="68538AE0"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lastRenderedPageBreak/>
        <w:t>Lecanemab, the New Alzheimer’s Treatment: 3 Things To Know</w:t>
      </w:r>
      <w:r>
        <w:rPr>
          <w:rFonts w:ascii="Times New Roman" w:hAnsi="Times New Roman" w:cs="Times New Roman"/>
          <w:kern w:val="0"/>
          <w:sz w:val="24"/>
          <w:szCs w:val="24"/>
        </w:rPr>
        <w:t xml:space="preserve">. (n.d.). Yale Medicine. Retrieved May 11, 2023, from </w:t>
      </w:r>
      <w:hyperlink r:id="rId32" w:history="1">
        <w:r w:rsidR="0077179F" w:rsidRPr="0051623A">
          <w:rPr>
            <w:rStyle w:val="Hyperlink"/>
            <w:rFonts w:ascii="Times New Roman" w:hAnsi="Times New Roman" w:cs="Times New Roman"/>
            <w:kern w:val="0"/>
            <w:sz w:val="24"/>
            <w:szCs w:val="24"/>
          </w:rPr>
          <w:t>https://www.yalemedicine.org/news/lecanemab-leqembi-new-alzheimers-drug</w:t>
        </w:r>
      </w:hyperlink>
      <w:r w:rsidR="0077179F">
        <w:rPr>
          <w:rFonts w:ascii="Times New Roman" w:hAnsi="Times New Roman" w:cs="Times New Roman"/>
          <w:kern w:val="0"/>
          <w:sz w:val="24"/>
          <w:szCs w:val="24"/>
        </w:rPr>
        <w:t xml:space="preserve"> </w:t>
      </w:r>
    </w:p>
    <w:p w14:paraId="2E7BDC86" w14:textId="404416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Marcus, D. S., Wang, T. H., Parker, J., Csernansky, J. G., Morris, J. C., &amp; Buckner, R. L. (2007). Open Access Series of Imaging Studies (OASIS): Cross-sectional MRI Data in Young, Middle Aged, Nondemented, and Demented Older Adults. </w:t>
      </w:r>
      <w:r>
        <w:rPr>
          <w:rFonts w:ascii="Times New Roman" w:hAnsi="Times New Roman" w:cs="Times New Roman"/>
          <w:i/>
          <w:iCs/>
          <w:kern w:val="0"/>
          <w:sz w:val="24"/>
          <w:szCs w:val="24"/>
        </w:rPr>
        <w:t>Journal of Cognitive Neuroscience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 xml:space="preserve">(9), 1498–1507. </w:t>
      </w:r>
      <w:hyperlink r:id="rId33" w:history="1">
        <w:r w:rsidR="0077179F" w:rsidRPr="0051623A">
          <w:rPr>
            <w:rStyle w:val="Hyperlink"/>
            <w:rFonts w:ascii="Times New Roman" w:hAnsi="Times New Roman" w:cs="Times New Roman"/>
            <w:kern w:val="0"/>
            <w:sz w:val="24"/>
            <w:szCs w:val="24"/>
          </w:rPr>
          <w:t>https://doi.org/10.1162/jocn.2007.19.9.1498</w:t>
        </w:r>
      </w:hyperlink>
      <w:r w:rsidR="0077179F">
        <w:rPr>
          <w:rFonts w:ascii="Times New Roman" w:hAnsi="Times New Roman" w:cs="Times New Roman"/>
          <w:kern w:val="0"/>
          <w:sz w:val="24"/>
          <w:szCs w:val="24"/>
        </w:rPr>
        <w:t xml:space="preserve"> </w:t>
      </w:r>
    </w:p>
    <w:p w14:paraId="60C7CB4E" w14:textId="6CFB708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Mini-Mental State Exam (MMSE) Test for Alzheimer’s / Dementia</w:t>
      </w:r>
      <w:r>
        <w:rPr>
          <w:rFonts w:ascii="Times New Roman" w:hAnsi="Times New Roman" w:cs="Times New Roman"/>
          <w:kern w:val="0"/>
          <w:sz w:val="24"/>
          <w:szCs w:val="24"/>
        </w:rPr>
        <w:t xml:space="preserve">. (n.d.). Retrieved May 11, 2023, from </w:t>
      </w:r>
      <w:hyperlink r:id="rId34" w:history="1">
        <w:r w:rsidR="00C8408C" w:rsidRPr="0051623A">
          <w:rPr>
            <w:rStyle w:val="Hyperlink"/>
            <w:rFonts w:ascii="Times New Roman" w:hAnsi="Times New Roman" w:cs="Times New Roman"/>
            <w:kern w:val="0"/>
            <w:sz w:val="24"/>
            <w:szCs w:val="24"/>
          </w:rPr>
          <w:t>https://www.dementiacarecentral.com/mini-mental-state-exam/</w:t>
        </w:r>
      </w:hyperlink>
      <w:r w:rsidR="00C8408C">
        <w:rPr>
          <w:rFonts w:ascii="Times New Roman" w:hAnsi="Times New Roman" w:cs="Times New Roman"/>
          <w:kern w:val="0"/>
          <w:sz w:val="24"/>
          <w:szCs w:val="24"/>
        </w:rPr>
        <w:t xml:space="preserve"> </w:t>
      </w:r>
    </w:p>
    <w:p w14:paraId="6BCF6C3D" w14:textId="77777777"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Morris, J. C. (1993). The Clinical Dementia Rating (CDR): Current version and scoring rules. </w:t>
      </w:r>
      <w:r>
        <w:rPr>
          <w:rFonts w:ascii="Times New Roman" w:hAnsi="Times New Roman" w:cs="Times New Roman"/>
          <w:i/>
          <w:iCs/>
          <w:kern w:val="0"/>
          <w:sz w:val="24"/>
          <w:szCs w:val="24"/>
        </w:rPr>
        <w:t>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(11), 2412.1-2412. https://doi.org/10.1212/WNL.43.11.2412</w:t>
      </w:r>
    </w:p>
    <w:p w14:paraId="0F785880" w14:textId="4F38DE2A"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Potential fabrication in research images threatens key theory of Alzheimer’s disease</w:t>
      </w:r>
      <w:r>
        <w:rPr>
          <w:rFonts w:ascii="Times New Roman" w:hAnsi="Times New Roman" w:cs="Times New Roman"/>
          <w:kern w:val="0"/>
          <w:sz w:val="24"/>
          <w:szCs w:val="24"/>
        </w:rPr>
        <w:t xml:space="preserve">. (n.d.). Retrieved May 11, 2023, from </w:t>
      </w:r>
      <w:hyperlink r:id="rId35" w:history="1">
        <w:r w:rsidR="00C8408C" w:rsidRPr="0051623A">
          <w:rPr>
            <w:rStyle w:val="Hyperlink"/>
            <w:rFonts w:ascii="Times New Roman" w:hAnsi="Times New Roman" w:cs="Times New Roman"/>
            <w:kern w:val="0"/>
            <w:sz w:val="24"/>
            <w:szCs w:val="24"/>
          </w:rPr>
          <w:t>https://www.science.org/content/article/potential-fabrication-research-images-threatens-key-theory-alzheimers-disease</w:t>
        </w:r>
      </w:hyperlink>
      <w:r w:rsidR="00C8408C">
        <w:rPr>
          <w:rFonts w:ascii="Times New Roman" w:hAnsi="Times New Roman" w:cs="Times New Roman"/>
          <w:kern w:val="0"/>
          <w:sz w:val="24"/>
          <w:szCs w:val="24"/>
        </w:rPr>
        <w:t xml:space="preserve"> </w:t>
      </w:r>
    </w:p>
    <w:p w14:paraId="16E7CF30" w14:textId="1C71DEE5"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 G. S. (2022, October 21). </w:t>
      </w:r>
      <w:r>
        <w:rPr>
          <w:rFonts w:ascii="Times New Roman" w:hAnsi="Times New Roman" w:cs="Times New Roman"/>
          <w:i/>
          <w:iCs/>
          <w:kern w:val="0"/>
          <w:sz w:val="24"/>
          <w:szCs w:val="24"/>
        </w:rPr>
        <w:t>Confusion Matrix to no Confusion Matrix in just 5mins</w:t>
      </w:r>
      <w:r>
        <w:rPr>
          <w:rFonts w:ascii="Times New Roman" w:hAnsi="Times New Roman" w:cs="Times New Roman"/>
          <w:kern w:val="0"/>
          <w:sz w:val="24"/>
          <w:szCs w:val="24"/>
        </w:rPr>
        <w:t xml:space="preserve">. Medium. </w:t>
      </w:r>
      <w:hyperlink r:id="rId36" w:history="1">
        <w:r w:rsidR="00C8408C" w:rsidRPr="0051623A">
          <w:rPr>
            <w:rStyle w:val="Hyperlink"/>
            <w:rFonts w:ascii="Times New Roman" w:hAnsi="Times New Roman" w:cs="Times New Roman"/>
            <w:kern w:val="0"/>
            <w:sz w:val="24"/>
            <w:szCs w:val="24"/>
          </w:rPr>
          <w:t>https://pub.towardsai.net/confusion-matrix-179b9c758b55</w:t>
        </w:r>
      </w:hyperlink>
      <w:r w:rsidR="00C8408C">
        <w:rPr>
          <w:rFonts w:ascii="Times New Roman" w:hAnsi="Times New Roman" w:cs="Times New Roman"/>
          <w:kern w:val="0"/>
          <w:sz w:val="24"/>
          <w:szCs w:val="24"/>
        </w:rPr>
        <w:t xml:space="preserve"> </w:t>
      </w:r>
    </w:p>
    <w:p w14:paraId="5604301D" w14:textId="5ABA4949"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Reardon, S. (2023). Alzheimer’s drug donanemab: What promising trial means for treatments. </w:t>
      </w:r>
      <w:r>
        <w:rPr>
          <w:rFonts w:ascii="Times New Roman" w:hAnsi="Times New Roman" w:cs="Times New Roman"/>
          <w:i/>
          <w:iCs/>
          <w:kern w:val="0"/>
          <w:sz w:val="24"/>
          <w:szCs w:val="24"/>
        </w:rPr>
        <w:t>Nature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617</w:t>
      </w:r>
      <w:r>
        <w:rPr>
          <w:rFonts w:ascii="Times New Roman" w:hAnsi="Times New Roman" w:cs="Times New Roman"/>
          <w:kern w:val="0"/>
          <w:sz w:val="24"/>
          <w:szCs w:val="24"/>
        </w:rPr>
        <w:t xml:space="preserve">(7960), 232–233. </w:t>
      </w:r>
      <w:hyperlink r:id="rId37" w:history="1">
        <w:r w:rsidR="00C8408C" w:rsidRPr="0051623A">
          <w:rPr>
            <w:rStyle w:val="Hyperlink"/>
            <w:rFonts w:ascii="Times New Roman" w:hAnsi="Times New Roman" w:cs="Times New Roman"/>
            <w:kern w:val="0"/>
            <w:sz w:val="24"/>
            <w:szCs w:val="24"/>
          </w:rPr>
          <w:t>https://doi.org/10.1038/d41586-023-01537-5</w:t>
        </w:r>
      </w:hyperlink>
      <w:r w:rsidR="00C8408C">
        <w:rPr>
          <w:rFonts w:ascii="Times New Roman" w:hAnsi="Times New Roman" w:cs="Times New Roman"/>
          <w:kern w:val="0"/>
          <w:sz w:val="24"/>
          <w:szCs w:val="24"/>
        </w:rPr>
        <w:t xml:space="preserve"> </w:t>
      </w:r>
    </w:p>
    <w:p w14:paraId="79B6B3E7" w14:textId="73ABD5D1"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Rubin, E. H., Storandt, M., Miller, J. P., Kinscherf, D. A., Grant, E. A., Morris, J. C., &amp; Berg, L. (1998). A Prospective Study of Cognitive Function and Onset of Dementia in Cognitively Healthy Elders. </w:t>
      </w:r>
      <w:r>
        <w:rPr>
          <w:rFonts w:ascii="Times New Roman" w:hAnsi="Times New Roman" w:cs="Times New Roman"/>
          <w:i/>
          <w:iCs/>
          <w:kern w:val="0"/>
          <w:sz w:val="24"/>
          <w:szCs w:val="24"/>
        </w:rPr>
        <w:t>Archives of Neurology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55</w:t>
      </w:r>
      <w:r>
        <w:rPr>
          <w:rFonts w:ascii="Times New Roman" w:hAnsi="Times New Roman" w:cs="Times New Roman"/>
          <w:kern w:val="0"/>
          <w:sz w:val="24"/>
          <w:szCs w:val="24"/>
        </w:rPr>
        <w:t xml:space="preserve">(3), 395. </w:t>
      </w:r>
      <w:hyperlink r:id="rId38" w:history="1">
        <w:r w:rsidR="00C8408C" w:rsidRPr="0051623A">
          <w:rPr>
            <w:rStyle w:val="Hyperlink"/>
            <w:rFonts w:ascii="Times New Roman" w:hAnsi="Times New Roman" w:cs="Times New Roman"/>
            <w:kern w:val="0"/>
            <w:sz w:val="24"/>
            <w:szCs w:val="24"/>
          </w:rPr>
          <w:t>https://doi.org/10.1001/archneur.55.3.395</w:t>
        </w:r>
      </w:hyperlink>
      <w:r w:rsidR="00C8408C">
        <w:rPr>
          <w:rFonts w:ascii="Times New Roman" w:hAnsi="Times New Roman" w:cs="Times New Roman"/>
          <w:kern w:val="0"/>
          <w:sz w:val="24"/>
          <w:szCs w:val="24"/>
        </w:rPr>
        <w:t xml:space="preserve"> </w:t>
      </w:r>
    </w:p>
    <w:p w14:paraId="7120B048" w14:textId="37CEA074"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i/>
          <w:iCs/>
          <w:kern w:val="0"/>
          <w:sz w:val="24"/>
          <w:szCs w:val="24"/>
        </w:rPr>
        <w:t>Taking the Confusion Out of Confusion Matrices | by Allison Ragan | Towards Data Science</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 xml:space="preserve">(n.d.). Retrieved May 14, 2023, from </w:t>
      </w:r>
      <w:hyperlink r:id="rId39" w:history="1">
        <w:r w:rsidR="00C8408C" w:rsidRPr="0051623A">
          <w:rPr>
            <w:rStyle w:val="Hyperlink"/>
            <w:rFonts w:ascii="Times New Roman" w:hAnsi="Times New Roman" w:cs="Times New Roman"/>
            <w:kern w:val="0"/>
            <w:sz w:val="24"/>
            <w:szCs w:val="24"/>
          </w:rPr>
          <w:t>https://towardsdatascience.com/taking-the-confusion-out-of-confusion-matrices-c1ce054b3d3e</w:t>
        </w:r>
      </w:hyperlink>
      <w:r w:rsidR="00C8408C">
        <w:rPr>
          <w:rFonts w:ascii="Times New Roman" w:hAnsi="Times New Roman" w:cs="Times New Roman"/>
          <w:kern w:val="0"/>
          <w:sz w:val="24"/>
          <w:szCs w:val="24"/>
        </w:rPr>
        <w:t xml:space="preserve"> </w:t>
      </w:r>
    </w:p>
    <w:p w14:paraId="0E17B4AB" w14:textId="0E318CF6" w:rsidR="00EF3B51" w:rsidRDefault="00EF3B51" w:rsidP="00EF3B51">
      <w:pPr>
        <w:widowControl w:val="0"/>
        <w:autoSpaceDE w:val="0"/>
        <w:autoSpaceDN w:val="0"/>
        <w:adjustRightInd w:val="0"/>
        <w:spacing w:after="0" w:line="480" w:lineRule="auto"/>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Woloshin, S., &amp; Kesselheim, A. S. (2022). What to Know About the Alzheimer Drug Aducanumab (Aduhelm). </w:t>
      </w:r>
      <w:r>
        <w:rPr>
          <w:rFonts w:ascii="Times New Roman" w:hAnsi="Times New Roman" w:cs="Times New Roman"/>
          <w:i/>
          <w:iCs/>
          <w:kern w:val="0"/>
          <w:sz w:val="24"/>
          <w:szCs w:val="24"/>
        </w:rPr>
        <w:t>JAMA Internal Medicine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182</w:t>
      </w:r>
      <w:r>
        <w:rPr>
          <w:rFonts w:ascii="Times New Roman" w:hAnsi="Times New Roman" w:cs="Times New Roman"/>
          <w:kern w:val="0"/>
          <w:sz w:val="24"/>
          <w:szCs w:val="24"/>
        </w:rPr>
        <w:t xml:space="preserve">(8), 892. </w:t>
      </w:r>
      <w:hyperlink r:id="rId40" w:history="1">
        <w:r w:rsidR="00C8408C" w:rsidRPr="0051623A">
          <w:rPr>
            <w:rStyle w:val="Hyperlink"/>
            <w:rFonts w:ascii="Times New Roman" w:hAnsi="Times New Roman" w:cs="Times New Roman"/>
            <w:kern w:val="0"/>
            <w:sz w:val="24"/>
            <w:szCs w:val="24"/>
          </w:rPr>
          <w:t>https://doi.org/10.1001/jamainternmed.2022.1039</w:t>
        </w:r>
      </w:hyperlink>
      <w:r w:rsidR="00C8408C">
        <w:rPr>
          <w:rFonts w:ascii="Times New Roman" w:hAnsi="Times New Roman" w:cs="Times New Roman"/>
          <w:kern w:val="0"/>
          <w:sz w:val="24"/>
          <w:szCs w:val="24"/>
        </w:rPr>
        <w:t xml:space="preserve"> </w:t>
      </w:r>
    </w:p>
    <w:p w14:paraId="061D60CC" w14:textId="335431E0" w:rsidR="008A50E0" w:rsidRPr="00DE3485" w:rsidRDefault="008A50E0" w:rsidP="00EF3B51">
      <w:pPr>
        <w:pStyle w:val="ListParagraph"/>
        <w:tabs>
          <w:tab w:val="left" w:pos="5480"/>
        </w:tabs>
        <w:spacing w:after="0" w:line="240" w:lineRule="auto"/>
      </w:pP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030E"/>
    <w:rsid w:val="000103B4"/>
    <w:rsid w:val="00012A3F"/>
    <w:rsid w:val="000146EB"/>
    <w:rsid w:val="00034F97"/>
    <w:rsid w:val="00041458"/>
    <w:rsid w:val="0005032E"/>
    <w:rsid w:val="00050FEE"/>
    <w:rsid w:val="00051ECD"/>
    <w:rsid w:val="00065FCE"/>
    <w:rsid w:val="00066F2C"/>
    <w:rsid w:val="00072AD6"/>
    <w:rsid w:val="00081A87"/>
    <w:rsid w:val="0008770D"/>
    <w:rsid w:val="00090745"/>
    <w:rsid w:val="000A21E6"/>
    <w:rsid w:val="000A3101"/>
    <w:rsid w:val="000A3F10"/>
    <w:rsid w:val="000B7F4F"/>
    <w:rsid w:val="000D1136"/>
    <w:rsid w:val="000D59B8"/>
    <w:rsid w:val="000E3311"/>
    <w:rsid w:val="000F3D28"/>
    <w:rsid w:val="000F4D6F"/>
    <w:rsid w:val="0010146F"/>
    <w:rsid w:val="00111B0F"/>
    <w:rsid w:val="001364A9"/>
    <w:rsid w:val="00147594"/>
    <w:rsid w:val="00162E82"/>
    <w:rsid w:val="00163396"/>
    <w:rsid w:val="0016784D"/>
    <w:rsid w:val="00172020"/>
    <w:rsid w:val="00185F9A"/>
    <w:rsid w:val="00191666"/>
    <w:rsid w:val="001A28B4"/>
    <w:rsid w:val="001B5027"/>
    <w:rsid w:val="001D1FFE"/>
    <w:rsid w:val="001E6FCF"/>
    <w:rsid w:val="001F0610"/>
    <w:rsid w:val="0020175B"/>
    <w:rsid w:val="002053B5"/>
    <w:rsid w:val="002208CA"/>
    <w:rsid w:val="00243E57"/>
    <w:rsid w:val="0025343B"/>
    <w:rsid w:val="00291365"/>
    <w:rsid w:val="00294994"/>
    <w:rsid w:val="002959D8"/>
    <w:rsid w:val="002B369A"/>
    <w:rsid w:val="002B623D"/>
    <w:rsid w:val="002C0777"/>
    <w:rsid w:val="002D0D2C"/>
    <w:rsid w:val="002E56DF"/>
    <w:rsid w:val="0030240F"/>
    <w:rsid w:val="003040CE"/>
    <w:rsid w:val="00311206"/>
    <w:rsid w:val="00311307"/>
    <w:rsid w:val="00314891"/>
    <w:rsid w:val="003205DD"/>
    <w:rsid w:val="00324DC7"/>
    <w:rsid w:val="003451BF"/>
    <w:rsid w:val="00346BD2"/>
    <w:rsid w:val="00347FCC"/>
    <w:rsid w:val="003509B3"/>
    <w:rsid w:val="00360AB1"/>
    <w:rsid w:val="00370F87"/>
    <w:rsid w:val="00374DF6"/>
    <w:rsid w:val="00375332"/>
    <w:rsid w:val="0037607C"/>
    <w:rsid w:val="00387BB0"/>
    <w:rsid w:val="00392B7E"/>
    <w:rsid w:val="003C53A8"/>
    <w:rsid w:val="003C7232"/>
    <w:rsid w:val="003D4425"/>
    <w:rsid w:val="003F2E94"/>
    <w:rsid w:val="003F4FDC"/>
    <w:rsid w:val="003F5442"/>
    <w:rsid w:val="00407D41"/>
    <w:rsid w:val="0042686C"/>
    <w:rsid w:val="00432BFE"/>
    <w:rsid w:val="004506FD"/>
    <w:rsid w:val="00456E72"/>
    <w:rsid w:val="004610AA"/>
    <w:rsid w:val="00466C64"/>
    <w:rsid w:val="00466D74"/>
    <w:rsid w:val="00477CCE"/>
    <w:rsid w:val="0048280E"/>
    <w:rsid w:val="004A54A3"/>
    <w:rsid w:val="004B0084"/>
    <w:rsid w:val="004B02D1"/>
    <w:rsid w:val="004B0665"/>
    <w:rsid w:val="004C1CF9"/>
    <w:rsid w:val="00502F2C"/>
    <w:rsid w:val="00511DD9"/>
    <w:rsid w:val="00530438"/>
    <w:rsid w:val="0053561A"/>
    <w:rsid w:val="00544E6F"/>
    <w:rsid w:val="00545D31"/>
    <w:rsid w:val="0054641E"/>
    <w:rsid w:val="00570771"/>
    <w:rsid w:val="00574018"/>
    <w:rsid w:val="005749D5"/>
    <w:rsid w:val="0058465B"/>
    <w:rsid w:val="00585895"/>
    <w:rsid w:val="005962D2"/>
    <w:rsid w:val="005A3F32"/>
    <w:rsid w:val="005A53A0"/>
    <w:rsid w:val="005B0245"/>
    <w:rsid w:val="005B31D6"/>
    <w:rsid w:val="005E51DF"/>
    <w:rsid w:val="0062030E"/>
    <w:rsid w:val="0062182A"/>
    <w:rsid w:val="00621F98"/>
    <w:rsid w:val="00623B48"/>
    <w:rsid w:val="00625D42"/>
    <w:rsid w:val="00632D67"/>
    <w:rsid w:val="006670E0"/>
    <w:rsid w:val="0067304E"/>
    <w:rsid w:val="00675CDC"/>
    <w:rsid w:val="00675ECD"/>
    <w:rsid w:val="00697446"/>
    <w:rsid w:val="006A1401"/>
    <w:rsid w:val="006B44A0"/>
    <w:rsid w:val="006B6EDD"/>
    <w:rsid w:val="006B7D60"/>
    <w:rsid w:val="006C0C64"/>
    <w:rsid w:val="006C4340"/>
    <w:rsid w:val="006E17DD"/>
    <w:rsid w:val="006E4930"/>
    <w:rsid w:val="006F0C41"/>
    <w:rsid w:val="007126C0"/>
    <w:rsid w:val="00726357"/>
    <w:rsid w:val="0073751F"/>
    <w:rsid w:val="00740F1B"/>
    <w:rsid w:val="0077179F"/>
    <w:rsid w:val="00784F75"/>
    <w:rsid w:val="007A20A8"/>
    <w:rsid w:val="007A6E53"/>
    <w:rsid w:val="007A6F21"/>
    <w:rsid w:val="007C7F8C"/>
    <w:rsid w:val="007E0412"/>
    <w:rsid w:val="007F2479"/>
    <w:rsid w:val="008072F9"/>
    <w:rsid w:val="0081093B"/>
    <w:rsid w:val="00811D68"/>
    <w:rsid w:val="00821A68"/>
    <w:rsid w:val="00827387"/>
    <w:rsid w:val="00836D8F"/>
    <w:rsid w:val="00843164"/>
    <w:rsid w:val="0085522C"/>
    <w:rsid w:val="00857C4A"/>
    <w:rsid w:val="00880E1F"/>
    <w:rsid w:val="0089731D"/>
    <w:rsid w:val="008A0315"/>
    <w:rsid w:val="008A4DDE"/>
    <w:rsid w:val="008A4F6A"/>
    <w:rsid w:val="008A50E0"/>
    <w:rsid w:val="008B33DC"/>
    <w:rsid w:val="008B50F8"/>
    <w:rsid w:val="008C4536"/>
    <w:rsid w:val="008D0295"/>
    <w:rsid w:val="008D5E1F"/>
    <w:rsid w:val="008D7BB5"/>
    <w:rsid w:val="008E4850"/>
    <w:rsid w:val="009121CB"/>
    <w:rsid w:val="00912A36"/>
    <w:rsid w:val="00912FCD"/>
    <w:rsid w:val="00931301"/>
    <w:rsid w:val="009630E8"/>
    <w:rsid w:val="009633A9"/>
    <w:rsid w:val="009740E6"/>
    <w:rsid w:val="00983439"/>
    <w:rsid w:val="00985E67"/>
    <w:rsid w:val="009A1426"/>
    <w:rsid w:val="009A1F12"/>
    <w:rsid w:val="009A7373"/>
    <w:rsid w:val="009B1646"/>
    <w:rsid w:val="009C2C72"/>
    <w:rsid w:val="009D30CD"/>
    <w:rsid w:val="009D4701"/>
    <w:rsid w:val="009E29FD"/>
    <w:rsid w:val="009E2BCB"/>
    <w:rsid w:val="009F0117"/>
    <w:rsid w:val="009F7C3D"/>
    <w:rsid w:val="00A054DD"/>
    <w:rsid w:val="00A06824"/>
    <w:rsid w:val="00A22A81"/>
    <w:rsid w:val="00A23C2C"/>
    <w:rsid w:val="00A24757"/>
    <w:rsid w:val="00A34049"/>
    <w:rsid w:val="00A42636"/>
    <w:rsid w:val="00A4330A"/>
    <w:rsid w:val="00A50217"/>
    <w:rsid w:val="00A53C4D"/>
    <w:rsid w:val="00A724EF"/>
    <w:rsid w:val="00A77D68"/>
    <w:rsid w:val="00A80F50"/>
    <w:rsid w:val="00A861E5"/>
    <w:rsid w:val="00A91C34"/>
    <w:rsid w:val="00A955C9"/>
    <w:rsid w:val="00AA256A"/>
    <w:rsid w:val="00AA3039"/>
    <w:rsid w:val="00AB09B4"/>
    <w:rsid w:val="00AB0AF8"/>
    <w:rsid w:val="00AB2D4C"/>
    <w:rsid w:val="00AC1142"/>
    <w:rsid w:val="00AD13C8"/>
    <w:rsid w:val="00AD61F1"/>
    <w:rsid w:val="00AF2209"/>
    <w:rsid w:val="00AF3AF9"/>
    <w:rsid w:val="00AF4B66"/>
    <w:rsid w:val="00B10704"/>
    <w:rsid w:val="00B12984"/>
    <w:rsid w:val="00B15883"/>
    <w:rsid w:val="00B171C1"/>
    <w:rsid w:val="00B175C2"/>
    <w:rsid w:val="00B22B1C"/>
    <w:rsid w:val="00B23298"/>
    <w:rsid w:val="00B314F1"/>
    <w:rsid w:val="00B3167D"/>
    <w:rsid w:val="00B37A7A"/>
    <w:rsid w:val="00B42A70"/>
    <w:rsid w:val="00B4398D"/>
    <w:rsid w:val="00B47F6B"/>
    <w:rsid w:val="00B55C4F"/>
    <w:rsid w:val="00B64BC3"/>
    <w:rsid w:val="00B83BF2"/>
    <w:rsid w:val="00B93D04"/>
    <w:rsid w:val="00B93D56"/>
    <w:rsid w:val="00BA1C88"/>
    <w:rsid w:val="00BA3C3A"/>
    <w:rsid w:val="00BB496D"/>
    <w:rsid w:val="00BC6201"/>
    <w:rsid w:val="00BD1F74"/>
    <w:rsid w:val="00BD50E1"/>
    <w:rsid w:val="00BD596A"/>
    <w:rsid w:val="00BD5B08"/>
    <w:rsid w:val="00C11709"/>
    <w:rsid w:val="00C25DE1"/>
    <w:rsid w:val="00C2669F"/>
    <w:rsid w:val="00C370BC"/>
    <w:rsid w:val="00C37629"/>
    <w:rsid w:val="00C45964"/>
    <w:rsid w:val="00C4607F"/>
    <w:rsid w:val="00C467DA"/>
    <w:rsid w:val="00C46840"/>
    <w:rsid w:val="00C531E8"/>
    <w:rsid w:val="00C72666"/>
    <w:rsid w:val="00C77E25"/>
    <w:rsid w:val="00C82B7B"/>
    <w:rsid w:val="00C8408C"/>
    <w:rsid w:val="00C86575"/>
    <w:rsid w:val="00C9462F"/>
    <w:rsid w:val="00C94D19"/>
    <w:rsid w:val="00C975EE"/>
    <w:rsid w:val="00CA2365"/>
    <w:rsid w:val="00CC57E4"/>
    <w:rsid w:val="00CD0875"/>
    <w:rsid w:val="00CE334B"/>
    <w:rsid w:val="00CE71F8"/>
    <w:rsid w:val="00D046BE"/>
    <w:rsid w:val="00D3125B"/>
    <w:rsid w:val="00D517AB"/>
    <w:rsid w:val="00D62646"/>
    <w:rsid w:val="00D913D0"/>
    <w:rsid w:val="00D96014"/>
    <w:rsid w:val="00DA0DDC"/>
    <w:rsid w:val="00DA751E"/>
    <w:rsid w:val="00DB0CF8"/>
    <w:rsid w:val="00DB1B4A"/>
    <w:rsid w:val="00DB2E64"/>
    <w:rsid w:val="00DB5316"/>
    <w:rsid w:val="00DC3885"/>
    <w:rsid w:val="00DC388D"/>
    <w:rsid w:val="00DD2FA2"/>
    <w:rsid w:val="00DE3485"/>
    <w:rsid w:val="00DE3C34"/>
    <w:rsid w:val="00DE496E"/>
    <w:rsid w:val="00DE526C"/>
    <w:rsid w:val="00DE651B"/>
    <w:rsid w:val="00E14734"/>
    <w:rsid w:val="00E22EE4"/>
    <w:rsid w:val="00E26208"/>
    <w:rsid w:val="00E4224D"/>
    <w:rsid w:val="00E44BE0"/>
    <w:rsid w:val="00E45F91"/>
    <w:rsid w:val="00E51901"/>
    <w:rsid w:val="00E56160"/>
    <w:rsid w:val="00E57C4F"/>
    <w:rsid w:val="00E57FFC"/>
    <w:rsid w:val="00E6351E"/>
    <w:rsid w:val="00E64A4F"/>
    <w:rsid w:val="00E739D4"/>
    <w:rsid w:val="00E816D2"/>
    <w:rsid w:val="00E82416"/>
    <w:rsid w:val="00E837EC"/>
    <w:rsid w:val="00E93342"/>
    <w:rsid w:val="00E94A39"/>
    <w:rsid w:val="00EB0598"/>
    <w:rsid w:val="00ED55AE"/>
    <w:rsid w:val="00ED58A0"/>
    <w:rsid w:val="00ED7DBC"/>
    <w:rsid w:val="00EE1F41"/>
    <w:rsid w:val="00EF3B51"/>
    <w:rsid w:val="00F0464E"/>
    <w:rsid w:val="00F071C2"/>
    <w:rsid w:val="00F22664"/>
    <w:rsid w:val="00F35C58"/>
    <w:rsid w:val="00F40CBC"/>
    <w:rsid w:val="00F430E5"/>
    <w:rsid w:val="00F551D0"/>
    <w:rsid w:val="00F55977"/>
    <w:rsid w:val="00F65A47"/>
    <w:rsid w:val="00F678E1"/>
    <w:rsid w:val="00F70F4F"/>
    <w:rsid w:val="00F835E2"/>
    <w:rsid w:val="00F90FE6"/>
    <w:rsid w:val="00FC1763"/>
    <w:rsid w:val="00FE1380"/>
    <w:rsid w:val="00FE2652"/>
    <w:rsid w:val="00FE6F40"/>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 w:type="character" w:styleId="Hyperlink">
    <w:name w:val="Hyperlink"/>
    <w:basedOn w:val="DefaultParagraphFont"/>
    <w:uiPriority w:val="99"/>
    <w:unhideWhenUsed/>
    <w:rsid w:val="0020175B"/>
    <w:rPr>
      <w:color w:val="0563C1" w:themeColor="hyperlink"/>
      <w:u w:val="single"/>
    </w:rPr>
  </w:style>
  <w:style w:type="character" w:styleId="UnresolvedMention">
    <w:name w:val="Unresolved Mention"/>
    <w:basedOn w:val="DefaultParagraphFont"/>
    <w:uiPriority w:val="99"/>
    <w:semiHidden/>
    <w:unhideWhenUsed/>
    <w:rsid w:val="0020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478492741">
      <w:bodyDiv w:val="1"/>
      <w:marLeft w:val="0"/>
      <w:marRight w:val="0"/>
      <w:marTop w:val="0"/>
      <w:marBottom w:val="0"/>
      <w:divBdr>
        <w:top w:val="none" w:sz="0" w:space="0" w:color="auto"/>
        <w:left w:val="none" w:sz="0" w:space="0" w:color="auto"/>
        <w:bottom w:val="none" w:sz="0" w:space="0" w:color="auto"/>
        <w:right w:val="none" w:sz="0" w:space="0" w:color="auto"/>
      </w:divBdr>
      <w:divsChild>
        <w:div w:id="491457392">
          <w:marLeft w:val="480"/>
          <w:marRight w:val="0"/>
          <w:marTop w:val="0"/>
          <w:marBottom w:val="0"/>
          <w:divBdr>
            <w:top w:val="none" w:sz="0" w:space="0" w:color="auto"/>
            <w:left w:val="none" w:sz="0" w:space="0" w:color="auto"/>
            <w:bottom w:val="none" w:sz="0" w:space="0" w:color="auto"/>
            <w:right w:val="none" w:sz="0" w:space="0" w:color="auto"/>
          </w:divBdr>
          <w:divsChild>
            <w:div w:id="791827440">
              <w:marLeft w:val="0"/>
              <w:marRight w:val="0"/>
              <w:marTop w:val="0"/>
              <w:marBottom w:val="0"/>
              <w:divBdr>
                <w:top w:val="none" w:sz="0" w:space="0" w:color="auto"/>
                <w:left w:val="none" w:sz="0" w:space="0" w:color="auto"/>
                <w:bottom w:val="none" w:sz="0" w:space="0" w:color="auto"/>
                <w:right w:val="none" w:sz="0" w:space="0" w:color="auto"/>
              </w:divBdr>
            </w:div>
            <w:div w:id="1219240540">
              <w:marLeft w:val="0"/>
              <w:marRight w:val="0"/>
              <w:marTop w:val="0"/>
              <w:marBottom w:val="0"/>
              <w:divBdr>
                <w:top w:val="none" w:sz="0" w:space="0" w:color="auto"/>
                <w:left w:val="none" w:sz="0" w:space="0" w:color="auto"/>
                <w:bottom w:val="none" w:sz="0" w:space="0" w:color="auto"/>
                <w:right w:val="none" w:sz="0" w:space="0" w:color="auto"/>
              </w:divBdr>
            </w:div>
            <w:div w:id="783306156">
              <w:marLeft w:val="0"/>
              <w:marRight w:val="0"/>
              <w:marTop w:val="0"/>
              <w:marBottom w:val="0"/>
              <w:divBdr>
                <w:top w:val="none" w:sz="0" w:space="0" w:color="auto"/>
                <w:left w:val="none" w:sz="0" w:space="0" w:color="auto"/>
                <w:bottom w:val="none" w:sz="0" w:space="0" w:color="auto"/>
                <w:right w:val="none" w:sz="0" w:space="0" w:color="auto"/>
              </w:divBdr>
            </w:div>
            <w:div w:id="1724476577">
              <w:marLeft w:val="0"/>
              <w:marRight w:val="0"/>
              <w:marTop w:val="0"/>
              <w:marBottom w:val="0"/>
              <w:divBdr>
                <w:top w:val="none" w:sz="0" w:space="0" w:color="auto"/>
                <w:left w:val="none" w:sz="0" w:space="0" w:color="auto"/>
                <w:bottom w:val="none" w:sz="0" w:space="0" w:color="auto"/>
                <w:right w:val="none" w:sz="0" w:space="0" w:color="auto"/>
              </w:divBdr>
            </w:div>
            <w:div w:id="16852717">
              <w:marLeft w:val="0"/>
              <w:marRight w:val="0"/>
              <w:marTop w:val="0"/>
              <w:marBottom w:val="0"/>
              <w:divBdr>
                <w:top w:val="none" w:sz="0" w:space="0" w:color="auto"/>
                <w:left w:val="none" w:sz="0" w:space="0" w:color="auto"/>
                <w:bottom w:val="none" w:sz="0" w:space="0" w:color="auto"/>
                <w:right w:val="none" w:sz="0" w:space="0" w:color="auto"/>
              </w:divBdr>
            </w:div>
            <w:div w:id="1762676779">
              <w:marLeft w:val="0"/>
              <w:marRight w:val="0"/>
              <w:marTop w:val="0"/>
              <w:marBottom w:val="0"/>
              <w:divBdr>
                <w:top w:val="none" w:sz="0" w:space="0" w:color="auto"/>
                <w:left w:val="none" w:sz="0" w:space="0" w:color="auto"/>
                <w:bottom w:val="none" w:sz="0" w:space="0" w:color="auto"/>
                <w:right w:val="none" w:sz="0" w:space="0" w:color="auto"/>
              </w:divBdr>
            </w:div>
            <w:div w:id="494297281">
              <w:marLeft w:val="0"/>
              <w:marRight w:val="0"/>
              <w:marTop w:val="0"/>
              <w:marBottom w:val="0"/>
              <w:divBdr>
                <w:top w:val="none" w:sz="0" w:space="0" w:color="auto"/>
                <w:left w:val="none" w:sz="0" w:space="0" w:color="auto"/>
                <w:bottom w:val="none" w:sz="0" w:space="0" w:color="auto"/>
                <w:right w:val="none" w:sz="0" w:space="0" w:color="auto"/>
              </w:divBdr>
            </w:div>
            <w:div w:id="2029525503">
              <w:marLeft w:val="0"/>
              <w:marRight w:val="0"/>
              <w:marTop w:val="0"/>
              <w:marBottom w:val="0"/>
              <w:divBdr>
                <w:top w:val="none" w:sz="0" w:space="0" w:color="auto"/>
                <w:left w:val="none" w:sz="0" w:space="0" w:color="auto"/>
                <w:bottom w:val="none" w:sz="0" w:space="0" w:color="auto"/>
                <w:right w:val="none" w:sz="0" w:space="0" w:color="auto"/>
              </w:divBdr>
            </w:div>
            <w:div w:id="1506171610">
              <w:marLeft w:val="0"/>
              <w:marRight w:val="0"/>
              <w:marTop w:val="0"/>
              <w:marBottom w:val="0"/>
              <w:divBdr>
                <w:top w:val="none" w:sz="0" w:space="0" w:color="auto"/>
                <w:left w:val="none" w:sz="0" w:space="0" w:color="auto"/>
                <w:bottom w:val="none" w:sz="0" w:space="0" w:color="auto"/>
                <w:right w:val="none" w:sz="0" w:space="0" w:color="auto"/>
              </w:divBdr>
            </w:div>
            <w:div w:id="143275370">
              <w:marLeft w:val="0"/>
              <w:marRight w:val="0"/>
              <w:marTop w:val="0"/>
              <w:marBottom w:val="0"/>
              <w:divBdr>
                <w:top w:val="none" w:sz="0" w:space="0" w:color="auto"/>
                <w:left w:val="none" w:sz="0" w:space="0" w:color="auto"/>
                <w:bottom w:val="none" w:sz="0" w:space="0" w:color="auto"/>
                <w:right w:val="none" w:sz="0" w:space="0" w:color="auto"/>
              </w:divBdr>
            </w:div>
            <w:div w:id="757409423">
              <w:marLeft w:val="0"/>
              <w:marRight w:val="0"/>
              <w:marTop w:val="0"/>
              <w:marBottom w:val="0"/>
              <w:divBdr>
                <w:top w:val="none" w:sz="0" w:space="0" w:color="auto"/>
                <w:left w:val="none" w:sz="0" w:space="0" w:color="auto"/>
                <w:bottom w:val="none" w:sz="0" w:space="0" w:color="auto"/>
                <w:right w:val="none" w:sz="0" w:space="0" w:color="auto"/>
              </w:divBdr>
            </w:div>
            <w:div w:id="1036389015">
              <w:marLeft w:val="0"/>
              <w:marRight w:val="0"/>
              <w:marTop w:val="0"/>
              <w:marBottom w:val="0"/>
              <w:divBdr>
                <w:top w:val="none" w:sz="0" w:space="0" w:color="auto"/>
                <w:left w:val="none" w:sz="0" w:space="0" w:color="auto"/>
                <w:bottom w:val="none" w:sz="0" w:space="0" w:color="auto"/>
                <w:right w:val="none" w:sz="0" w:space="0" w:color="auto"/>
              </w:divBdr>
            </w:div>
            <w:div w:id="1345980213">
              <w:marLeft w:val="0"/>
              <w:marRight w:val="0"/>
              <w:marTop w:val="0"/>
              <w:marBottom w:val="0"/>
              <w:divBdr>
                <w:top w:val="none" w:sz="0" w:space="0" w:color="auto"/>
                <w:left w:val="none" w:sz="0" w:space="0" w:color="auto"/>
                <w:bottom w:val="none" w:sz="0" w:space="0" w:color="auto"/>
                <w:right w:val="none" w:sz="0" w:space="0" w:color="auto"/>
              </w:divBdr>
            </w:div>
            <w:div w:id="140004660">
              <w:marLeft w:val="0"/>
              <w:marRight w:val="0"/>
              <w:marTop w:val="0"/>
              <w:marBottom w:val="0"/>
              <w:divBdr>
                <w:top w:val="none" w:sz="0" w:space="0" w:color="auto"/>
                <w:left w:val="none" w:sz="0" w:space="0" w:color="auto"/>
                <w:bottom w:val="none" w:sz="0" w:space="0" w:color="auto"/>
                <w:right w:val="none" w:sz="0" w:space="0" w:color="auto"/>
              </w:divBdr>
            </w:div>
            <w:div w:id="1751661218">
              <w:marLeft w:val="0"/>
              <w:marRight w:val="0"/>
              <w:marTop w:val="0"/>
              <w:marBottom w:val="0"/>
              <w:divBdr>
                <w:top w:val="none" w:sz="0" w:space="0" w:color="auto"/>
                <w:left w:val="none" w:sz="0" w:space="0" w:color="auto"/>
                <w:bottom w:val="none" w:sz="0" w:space="0" w:color="auto"/>
                <w:right w:val="none" w:sz="0" w:space="0" w:color="auto"/>
              </w:divBdr>
            </w:div>
            <w:div w:id="1665014222">
              <w:marLeft w:val="0"/>
              <w:marRight w:val="0"/>
              <w:marTop w:val="0"/>
              <w:marBottom w:val="0"/>
              <w:divBdr>
                <w:top w:val="none" w:sz="0" w:space="0" w:color="auto"/>
                <w:left w:val="none" w:sz="0" w:space="0" w:color="auto"/>
                <w:bottom w:val="none" w:sz="0" w:space="0" w:color="auto"/>
                <w:right w:val="none" w:sz="0" w:space="0" w:color="auto"/>
              </w:divBdr>
            </w:div>
            <w:div w:id="235634507">
              <w:marLeft w:val="0"/>
              <w:marRight w:val="0"/>
              <w:marTop w:val="0"/>
              <w:marBottom w:val="0"/>
              <w:divBdr>
                <w:top w:val="none" w:sz="0" w:space="0" w:color="auto"/>
                <w:left w:val="none" w:sz="0" w:space="0" w:color="auto"/>
                <w:bottom w:val="none" w:sz="0" w:space="0" w:color="auto"/>
                <w:right w:val="none" w:sz="0" w:space="0" w:color="auto"/>
              </w:divBdr>
            </w:div>
            <w:div w:id="2143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109/AICCSA.2018.8612831" TargetMode="External"/><Relationship Id="rId39" Type="http://schemas.openxmlformats.org/officeDocument/2006/relationships/hyperlink" Target="https://towardsdatascience.com/taking-the-confusion-out-of-confusion-matrices-c1ce054b3d3e" TargetMode="External"/><Relationship Id="rId21" Type="http://schemas.openxmlformats.org/officeDocument/2006/relationships/image" Target="media/image17.png"/><Relationship Id="rId34" Type="http://schemas.openxmlformats.org/officeDocument/2006/relationships/hyperlink" Target="https://www.dementiacarecentral.com/mini-mental-state-exam/"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1016/j.neuroimage.2004.06.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yalemedicine.org/news/lecanemab-leqembi-new-alzheimers-drug" TargetMode="External"/><Relationship Id="rId37" Type="http://schemas.openxmlformats.org/officeDocument/2006/relationships/hyperlink" Target="https://doi.org/10.1038/d41586-023-01537-5" TargetMode="External"/><Relationship Id="rId40" Type="http://schemas.openxmlformats.org/officeDocument/2006/relationships/hyperlink" Target="https://doi.org/10.1001/jamainternmed.2022.103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3390/molecules25245789" TargetMode="External"/><Relationship Id="rId36" Type="http://schemas.openxmlformats.org/officeDocument/2006/relationships/hyperlink" Target="https://pub.towardsai.net/confusion-matrix-179b9c758b55"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16/0022-3956(75)90026-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kaggle.com/datasets/jboysen/mri-and-alzheimers" TargetMode="External"/><Relationship Id="rId30" Type="http://schemas.openxmlformats.org/officeDocument/2006/relationships/hyperlink" Target="https://doi.org/DOI:10.46647/ijetms.2022.v06i06.110" TargetMode="External"/><Relationship Id="rId35" Type="http://schemas.openxmlformats.org/officeDocument/2006/relationships/hyperlink" Target="https://www.science.org/content/article/potential-fabrication-research-images-threatens-key-theory-alzheimers-diseas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02/14651858.CD010783.pub3" TargetMode="External"/><Relationship Id="rId33" Type="http://schemas.openxmlformats.org/officeDocument/2006/relationships/hyperlink" Target="https://doi.org/10.1162/jocn.2007.19.9.1498" TargetMode="External"/><Relationship Id="rId38" Type="http://schemas.openxmlformats.org/officeDocument/2006/relationships/hyperlink" Target="https://doi.org/10.1001/archneur.55.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22</Pages>
  <Words>13758</Words>
  <Characters>78421</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320</cp:revision>
  <dcterms:created xsi:type="dcterms:W3CDTF">2023-05-11T14:54:00Z</dcterms:created>
  <dcterms:modified xsi:type="dcterms:W3CDTF">2023-05-14T21:04:00Z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