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12:26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timetopainrelief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norm</w:t>
      </w:r>
    </w:p>
    <w:p>
      <w:pPr>
        <w:pStyle w:val="BodyText"/>
      </w:pPr>
      <w:r>
        <w:t xml:space="preserve">A distribution test is employed to check if the distribution of data is Normal.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timetopainrelief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timetopainrelief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timetopainrelief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93.611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23.464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Normal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Test.Statistic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center"/>
            </w:pPr>
            <w:r>
              <w:t xml:space="preserve">93.6</w:t>
            </w:r>
          </w:p>
        </w:tc>
        <w:tc>
          <w:p>
            <w:pPr>
              <w:pStyle w:val="Compact"/>
              <w:jc w:val="center"/>
            </w:pPr>
            <w:r>
              <w:t xml:space="preserve">23.5</w:t>
            </w:r>
          </w:p>
        </w:tc>
        <w:tc>
          <w:p>
            <w:pPr>
              <w:pStyle w:val="Compact"/>
              <w:jc w:val="center"/>
            </w:pPr>
            <w:r>
              <w:t xml:space="preserve">0.131</w:t>
            </w:r>
          </w:p>
        </w:tc>
        <w:tc>
          <w:p>
            <w:pPr>
              <w:pStyle w:val="Compact"/>
              <w:jc w:val="center"/>
            </w:pPr>
            <w:r>
              <w:t xml:space="preserve">0.0922</w:t>
            </w:r>
          </w:p>
        </w:tc>
      </w:tr>
    </w:tbl>
    <w:p>
      <w:pPr>
        <w:pStyle w:val="BodyText"/>
      </w:pPr>
      <w:r>
        <w:t xml:space="preserve">Here, the p-value equals 0.0922227,</w:t>
      </w:r>
      <w:r>
        <w:t xml:space="preserve"> </w:t>
      </w:r>
      <w:r>
        <w:t xml:space="preserve">which means there is no sufficient evidence to say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timetopainrelief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timetopainrelief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There is no sufficient evidence to say the data don’t follow a Normal distribution at the significance level of 0.05.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2021-11-14T17:26:47Z</dcterms:created>
  <dcterms:modified xsi:type="dcterms:W3CDTF">2021-11-14T17:26:47Z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12:26</vt:lpwstr>
  </property>
  <property fmtid="{D5CDD505-2E9C-101B-9397-08002B2CF9AE}" pid="4" name="output">
    <vt:lpwstr>word_document</vt:lpwstr>
  </property>
</Properties>
</file>