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11/14/2021</w:t>
      </w:r>
      <w:r>
        <w:t xml:space="preserve"> </w:t>
      </w:r>
      <w:r>
        <w:t xml:space="preserve">18:32</w:t>
      </w:r>
    </w:p>
    <w:bookmarkStart w:id="21" w:name="abstract"/>
    <w:p>
      <w:pPr>
        <w:pStyle w:val="Heading1"/>
      </w:pPr>
      <w:r>
        <w:t xml:space="preserve">Abstract</w:t>
      </w:r>
    </w:p>
    <w:p>
      <w:pPr>
        <w:pStyle w:val="FirstParagraph"/>
      </w:pPr>
      <w:r>
        <w:t xml:space="preserve">Outcome variable:</w:t>
      </w:r>
      <w:r>
        <w:t xml:space="preserve"> </w:t>
      </w:r>
      <w:r>
        <w:rPr>
          <w:i/>
        </w:rPr>
        <w:t xml:space="preserve">lifeExp</w:t>
      </w:r>
      <w:r>
        <w:br/>
      </w:r>
      <w:r>
        <w:t xml:space="preserve">Null mean:</w:t>
      </w:r>
      <w:r>
        <w:t xml:space="preserve"> </w:t>
      </w:r>
      <w:r>
        <w:rPr>
          <w:i/>
        </w:rPr>
        <w:t xml:space="preserve">0</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lifeExp</w:t>
      </w:r>
      <w:r>
        <w:t xml:space="preserve"> </w:t>
      </w:r>
      <w:r>
        <w:t xml:space="preserve">is equal to 0.</w:t>
      </w:r>
      <w:r>
        <w:t xml:space="preserve"> </w:t>
      </w:r>
      <w:r>
        <w:t xml:space="preserve">According to the result, we can get the conclusion, two.sided, at the significance level of 0.05.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994</w:t>
            </w:r>
          </w:p>
        </w:tc>
        <w:tc>
          <w:p>
            <w:pPr>
              <w:pStyle w:val="Compact"/>
              <w:jc w:val="center"/>
            </w:pPr>
            <w:r>
              <w:t xml:space="preserve">0</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lifeExp</w:t>
            </w:r>
          </w:p>
        </w:tc>
        <w:tc>
          <w:p>
            <w:pPr>
              <w:pStyle w:val="Compact"/>
              <w:jc w:val="center"/>
            </w:pPr>
            <w:r>
              <w:t xml:space="preserve">23.599</w:t>
            </w:r>
          </w:p>
        </w:tc>
        <w:tc>
          <w:p>
            <w:pPr>
              <w:pStyle w:val="Compact"/>
              <w:jc w:val="center"/>
            </w:pPr>
            <w:r>
              <w:t xml:space="preserve">54.406</w:t>
            </w:r>
          </w:p>
        </w:tc>
        <w:tc>
          <w:p>
            <w:pPr>
              <w:pStyle w:val="Compact"/>
              <w:jc w:val="center"/>
            </w:pPr>
            <w:r>
              <w:t xml:space="preserve">67.014</w:t>
            </w:r>
          </w:p>
        </w:tc>
        <w:tc>
          <w:p>
            <w:pPr>
              <w:pStyle w:val="Compact"/>
              <w:jc w:val="center"/>
            </w:pPr>
            <w:r>
              <w:t xml:space="preserve">63.742</w:t>
            </w:r>
          </w:p>
        </w:tc>
        <w:tc>
          <w:p>
            <w:pPr>
              <w:pStyle w:val="Compact"/>
              <w:jc w:val="center"/>
            </w:pPr>
            <w:r>
              <w:t xml:space="preserve">73.416</w:t>
            </w:r>
          </w:p>
        </w:tc>
        <w:tc>
          <w:p>
            <w:pPr>
              <w:pStyle w:val="Compact"/>
              <w:jc w:val="center"/>
            </w:pPr>
            <w:r>
              <w:t xml:space="preserve">82.603</w:t>
            </w:r>
          </w:p>
        </w:tc>
        <w:tc>
          <w:p>
            <w:pPr>
              <w:pStyle w:val="Compact"/>
              <w:jc w:val="center"/>
            </w:pPr>
            <w:r>
              <w:t xml:space="preserve">11.607</w:t>
            </w:r>
          </w:p>
        </w:tc>
      </w:tr>
    </w:tbl>
    <w:p>
      <w:pPr>
        <w:pStyle w:val="BodyText"/>
      </w:pPr>
      <w:r>
        <w:t xml:space="preserve">The box plot for</w:t>
      </w:r>
      <w:r>
        <w:t xml:space="preserve"> </w:t>
      </w:r>
      <w:r>
        <w:rPr>
          <w:i/>
        </w:rPr>
        <w:t xml:space="preserve">lifeExp</w:t>
      </w:r>
      <w:r>
        <w:t xml:space="preserve"> </w:t>
      </w:r>
      <w:r>
        <w:t xml:space="preserve">is given by</w:t>
      </w:r>
    </w:p>
    <w:p>
      <w:pPr>
        <w:pStyle w:val="CaptionedFigure"/>
      </w:pPr>
      <w:r>
        <w:drawing>
          <wp:inline>
            <wp:extent cx="4587290" cy="4587290"/>
            <wp:effectExtent b="0" l="0" r="0" t="0"/>
            <wp:docPr descr="\mathbf{Figure~1.} Box plot for distribution of lifeExp."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lifeExp.</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0</w:t>
            </w:r>
          </w:p>
        </w:tc>
        <w:tc>
          <w:p>
            <w:pPr>
              <w:pStyle w:val="Compact"/>
              <w:jc w:val="center"/>
            </w:pPr>
            <w:r>
              <w:t xml:space="preserve">two.sided</w:t>
            </w:r>
          </w:p>
        </w:tc>
        <w:tc>
          <w:p>
            <w:pPr>
              <w:pStyle w:val="Compact"/>
              <w:jc w:val="center"/>
            </w:pPr>
            <w:r>
              <w:t xml:space="preserve">173</w:t>
            </w:r>
          </w:p>
        </w:tc>
        <w:tc>
          <w:p>
            <w:pPr>
              <w:pStyle w:val="Compact"/>
              <w:jc w:val="center"/>
            </w:pPr>
            <w:r>
              <w:t xml:space="preserve">993</w:t>
            </w:r>
          </w:p>
        </w:tc>
        <w:tc>
          <w:p>
            <w:pPr>
              <w:pStyle w:val="Compact"/>
              <w:jc w:val="center"/>
            </w:pPr>
            <w:r>
              <w:t xml:space="preserve">0</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 p-value is less than or equal to 0.05, indicating that the difference between the mean and the null value is statistically significant.</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63.7</w:t>
            </w:r>
          </w:p>
        </w:tc>
        <w:tc>
          <w:p>
            <w:pPr>
              <w:pStyle w:val="Compact"/>
              <w:jc w:val="center"/>
            </w:pPr>
            <w:r>
              <w:t xml:space="preserve">63</w:t>
            </w:r>
          </w:p>
        </w:tc>
        <w:tc>
          <w:p>
            <w:pPr>
              <w:pStyle w:val="Compact"/>
              <w:jc w:val="center"/>
            </w:pPr>
            <w:r>
              <w:t xml:space="preserve">64.5</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lifeExp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0.129</w:t>
            </w:r>
          </w:p>
        </w:tc>
        <w:tc>
          <w:p>
            <w:pPr>
              <w:pStyle w:val="Compact"/>
              <w:jc w:val="center"/>
            </w:pPr>
            <w:r>
              <w:t xml:space="preserve">0</w:t>
            </w:r>
          </w:p>
        </w:tc>
      </w:tr>
      <w:tr>
        <w:tc>
          <w:p>
            <w:pPr>
              <w:pStyle w:val="Compact"/>
              <w:jc w:val="left"/>
            </w:pPr>
            <w:r>
              <w:t xml:space="preserve">Shapiro-Wilk test</w:t>
            </w:r>
          </w:p>
        </w:tc>
        <w:tc>
          <w:p>
            <w:pPr>
              <w:pStyle w:val="Compact"/>
              <w:jc w:val="center"/>
            </w:pPr>
            <w:r>
              <w:t xml:space="preserve">0.939</w:t>
            </w:r>
          </w:p>
        </w:tc>
        <w:tc>
          <w:p>
            <w:pPr>
              <w:pStyle w:val="Compact"/>
              <w:jc w:val="center"/>
            </w:pPr>
            <w:r>
              <w:t xml:space="preserve">0</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The normality assumption doesn’t hold. We suggest making some data transformation to meet the requirements of the t-Test or use the following result of the Wilcoxon Signed-Rank test (a non-parametric analog of t-test) for further analysis.</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the Wilcoxon Signed-Rank test.</w:t>
      </w:r>
    </w:p>
    <w:tbl>
      <w:tblPr>
        <w:tblStyle w:val="Table"/>
        <w:tblW w:type="pct" w:w="0.0"/>
        <w:tblLook w:firstRow="1" w:lastRow="0" w:firstColumn="0" w:lastColumn="0" w:noHBand="0" w:noVBand="0"/>
        <w:tblCaption w:val="\mathbf{Table~6.} Results of the Wilcoxon Signed-Rank test."/>
      </w:tblPr>
      <w:tblGrid/>
      <w:tr>
        <w:trPr>
          <w:cnfStyle w:firstRow="1"/>
        </w:trPr>
        <w:tc>
          <w:tcPr>
            <w:tcBorders>
              <w:bottom w:val="single"/>
            </w:tcBorders>
            <w:vAlign w:val="bottom"/>
          </w:tcPr>
          <w:p>
            <w:pPr>
              <w:pStyle w:val="Compact"/>
              <w:jc w:val="center"/>
            </w:pPr>
            <w:r>
              <w:t xml:space="preserve">Null Value (Location)</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V</w:t>
            </w:r>
          </w:p>
        </w:tc>
        <w:tc>
          <w:tcPr>
            <w:tcBorders>
              <w:bottom w:val="single"/>
            </w:tcBorders>
            <w:vAlign w:val="bottom"/>
          </w:tcPr>
          <w:p>
            <w:pPr>
              <w:pStyle w:val="Compact"/>
              <w:jc w:val="center"/>
            </w:pPr>
            <w:r>
              <w:t xml:space="preserve">p-value</w:t>
            </w:r>
          </w:p>
        </w:tc>
      </w:tr>
      <w:tr>
        <w:tc>
          <w:p>
            <w:pPr>
              <w:pStyle w:val="Compact"/>
              <w:jc w:val="center"/>
            </w:pPr>
            <w:r>
              <w:t xml:space="preserve">0</w:t>
            </w:r>
          </w:p>
        </w:tc>
        <w:tc>
          <w:p>
            <w:pPr>
              <w:pStyle w:val="Compact"/>
              <w:jc w:val="center"/>
            </w:pPr>
            <w:r>
              <w:t xml:space="preserve">two.sided</w:t>
            </w:r>
          </w:p>
        </w:tc>
        <w:tc>
          <w:p>
            <w:pPr>
              <w:pStyle w:val="Compact"/>
              <w:jc w:val="center"/>
            </w:pPr>
            <w:r>
              <w:t xml:space="preserve">495000</w:t>
            </w:r>
          </w:p>
        </w:tc>
        <w:tc>
          <w:p>
            <w:pPr>
              <w:pStyle w:val="Compact"/>
              <w:jc w:val="center"/>
            </w:pPr>
            <w:r>
              <w:t xml:space="preserve">0</w:t>
            </w:r>
          </w:p>
        </w:tc>
      </w:tr>
    </w:tbl>
    <w:p>
      <w:pPr>
        <w:pStyle w:val="BodyText"/>
      </w:pPr>
      <w:r>
        <w:t xml:space="preserve">It is the result of the Wilcoxon Signed-Rank Test. The most important is the</w:t>
      </w:r>
      <w:r>
        <w:t xml:space="preserve"> </w:t>
      </w:r>
      <w:r>
        <w:rPr>
          <w:i/>
        </w:rPr>
        <w:t xml:space="preserve">p</w:t>
      </w:r>
      <w:r>
        <w:t xml:space="preserve">-value. If it is less than a given threshold (commonly used significance level is 0.05), the null hypothesis is rejected. In other words, we can accept the alternative hypothesis.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a statistically significant difference between the mean and the given value of 0.</w:t>
      </w:r>
    </w:p>
    <w:p>
      <w:pPr>
        <w:numPr>
          <w:ilvl w:val="0"/>
          <w:numId w:val="1001"/>
        </w:numPr>
      </w:pPr>
      <w:r>
        <w:t xml:space="preserve">The normal distribution assumption of the data doesn’t hold. We suggest making some data transformation before running the t-test or use the following result of the Wilcoxon Signed-Rank test.</w:t>
      </w:r>
    </w:p>
    <w:p>
      <w:pPr>
        <w:numPr>
          <w:ilvl w:val="1"/>
          <w:numId w:val="1002"/>
        </w:numPr>
        <w:pStyle w:val="Compact"/>
      </w:pPr>
      <w:r>
        <w:t xml:space="preserve">The result of the Wilcoxon Signed-Rank test shows that there is a statistically significant difference between the median and the given value of 0.</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2021-11-14T23:32:27Z</dcterms:created>
  <dcterms:modified xsi:type="dcterms:W3CDTF">2021-11-14T23:32:27Z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11/14/2021 18:32</vt:lpwstr>
  </property>
  <property fmtid="{D5CDD505-2E9C-101B-9397-08002B2CF9AE}" pid="4" name="output">
    <vt:lpwstr>word_document</vt:lpwstr>
  </property>
</Properties>
</file>