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4F88" w14:textId="672C1222" w:rsidR="00A71613" w:rsidRPr="00577BE1" w:rsidRDefault="00211F3E" w:rsidP="00A71613">
      <w:pPr>
        <w:tabs>
          <w:tab w:val="left" w:pos="1052"/>
        </w:tabs>
        <w:rPr>
          <w:b/>
          <w:bCs/>
          <w:color w:val="385623" w:themeColor="accent6" w:themeShade="80"/>
          <w:sz w:val="32"/>
          <w:szCs w:val="32"/>
          <w:lang w:val="en-US"/>
        </w:rPr>
      </w:pPr>
      <w:r w:rsidRPr="00577BE1">
        <w:rPr>
          <w:b/>
          <w:bCs/>
          <w:color w:val="385623" w:themeColor="accent6" w:themeShade="80"/>
          <w:sz w:val="32"/>
          <w:szCs w:val="32"/>
          <w:lang w:val="en-US"/>
        </w:rPr>
        <w:t>Bài 9. Parabolic Sar</w:t>
      </w:r>
    </w:p>
    <w:p w14:paraId="20C08735" w14:textId="150FC277" w:rsidR="00211F3E" w:rsidRDefault="00211F3E" w:rsidP="00A71613">
      <w:pPr>
        <w:tabs>
          <w:tab w:val="left" w:pos="1052"/>
        </w:tabs>
        <w:rPr>
          <w:sz w:val="32"/>
          <w:szCs w:val="32"/>
          <w:lang w:val="en-US"/>
        </w:rPr>
      </w:pPr>
    </w:p>
    <w:p w14:paraId="18A40A47" w14:textId="08C09D08" w:rsidR="00211F3E" w:rsidRPr="00577BE1" w:rsidRDefault="00577BE1" w:rsidP="00577BE1">
      <w:pPr>
        <w:pStyle w:val="ListParagraph"/>
        <w:numPr>
          <w:ilvl w:val="0"/>
          <w:numId w:val="8"/>
        </w:numPr>
        <w:tabs>
          <w:tab w:val="left" w:pos="1052"/>
        </w:tabs>
        <w:spacing w:before="120" w:after="0" w:line="276" w:lineRule="auto"/>
        <w:ind w:hanging="371"/>
        <w:contextualSpacing w:val="0"/>
        <w:rPr>
          <w:b/>
          <w:bCs/>
          <w:color w:val="385623" w:themeColor="accent6" w:themeShade="80"/>
          <w:sz w:val="32"/>
          <w:szCs w:val="32"/>
          <w:lang w:val="en-US"/>
        </w:rPr>
      </w:pPr>
      <w:r w:rsidRPr="00577BE1">
        <w:rPr>
          <w:b/>
          <w:bCs/>
          <w:color w:val="385623" w:themeColor="accent6" w:themeShade="80"/>
          <w:sz w:val="32"/>
          <w:szCs w:val="32"/>
          <w:lang w:val="en-US"/>
        </w:rPr>
        <w:t>Parabolic Sar là gì?</w:t>
      </w:r>
    </w:p>
    <w:p w14:paraId="6054FDD7" w14:textId="1A59746D" w:rsidR="00577BE1" w:rsidRDefault="00577BE1" w:rsidP="00577BE1">
      <w:pPr>
        <w:pStyle w:val="ListParagraph"/>
        <w:numPr>
          <w:ilvl w:val="0"/>
          <w:numId w:val="3"/>
        </w:numPr>
        <w:tabs>
          <w:tab w:val="left" w:pos="1052"/>
        </w:tabs>
        <w:spacing w:before="120" w:after="0" w:line="276" w:lineRule="auto"/>
        <w:contextualSpacing w:val="0"/>
        <w:rPr>
          <w:sz w:val="32"/>
          <w:szCs w:val="32"/>
          <w:lang w:val="en-US"/>
        </w:rPr>
      </w:pPr>
      <w:r>
        <w:rPr>
          <w:sz w:val="32"/>
          <w:szCs w:val="32"/>
          <w:lang w:val="en-US"/>
        </w:rPr>
        <w:t>Sar: Stop And Reverse có nghĩa là dừng lại và đảo ngược;</w:t>
      </w:r>
    </w:p>
    <w:p w14:paraId="74D446D9" w14:textId="2B60AD76" w:rsidR="00577BE1" w:rsidRDefault="00577BE1" w:rsidP="00577BE1">
      <w:pPr>
        <w:pStyle w:val="ListParagraph"/>
        <w:numPr>
          <w:ilvl w:val="0"/>
          <w:numId w:val="3"/>
        </w:numPr>
        <w:tabs>
          <w:tab w:val="left" w:pos="1052"/>
        </w:tabs>
        <w:spacing w:before="120" w:after="0" w:line="276" w:lineRule="auto"/>
        <w:contextualSpacing w:val="0"/>
        <w:rPr>
          <w:sz w:val="32"/>
          <w:szCs w:val="32"/>
          <w:lang w:val="en-US"/>
        </w:rPr>
      </w:pPr>
      <w:r>
        <w:rPr>
          <w:sz w:val="32"/>
          <w:szCs w:val="32"/>
          <w:lang w:val="en-US"/>
        </w:rPr>
        <w:t>Là một công cụ dùng để dự đoán sự kết thúc của một su hướng.</w:t>
      </w:r>
    </w:p>
    <w:p w14:paraId="36EB58A4" w14:textId="021372ED" w:rsidR="00577BE1" w:rsidRDefault="00577BE1" w:rsidP="00577BE1">
      <w:pPr>
        <w:pStyle w:val="ListParagraph"/>
        <w:numPr>
          <w:ilvl w:val="0"/>
          <w:numId w:val="3"/>
        </w:numPr>
        <w:tabs>
          <w:tab w:val="left" w:pos="1052"/>
        </w:tabs>
        <w:spacing w:before="120" w:after="0" w:line="276" w:lineRule="auto"/>
        <w:contextualSpacing w:val="0"/>
        <w:rPr>
          <w:sz w:val="32"/>
          <w:szCs w:val="32"/>
          <w:lang w:val="en-US"/>
        </w:rPr>
      </w:pPr>
      <w:r>
        <w:rPr>
          <w:sz w:val="32"/>
          <w:szCs w:val="32"/>
          <w:lang w:val="en-US"/>
        </w:rPr>
        <w:t>Xác định tín hiệu tốt để mua vào, tín hiệu tốt để bán ra chốt lời.</w:t>
      </w:r>
    </w:p>
    <w:p w14:paraId="64F89DC0" w14:textId="638B9EB1" w:rsidR="002C7B85" w:rsidRPr="009803AD" w:rsidRDefault="002C7B85" w:rsidP="00577BE1">
      <w:pPr>
        <w:pStyle w:val="ListParagraph"/>
        <w:numPr>
          <w:ilvl w:val="0"/>
          <w:numId w:val="8"/>
        </w:numPr>
        <w:tabs>
          <w:tab w:val="left" w:pos="1052"/>
        </w:tabs>
        <w:spacing w:before="120" w:after="0" w:line="276" w:lineRule="auto"/>
        <w:ind w:hanging="371"/>
        <w:contextualSpacing w:val="0"/>
        <w:rPr>
          <w:b/>
          <w:bCs/>
          <w:color w:val="385623" w:themeColor="accent6" w:themeShade="80"/>
          <w:sz w:val="32"/>
          <w:szCs w:val="32"/>
          <w:lang w:val="en-US"/>
        </w:rPr>
      </w:pPr>
      <w:r>
        <w:rPr>
          <w:sz w:val="32"/>
          <w:szCs w:val="32"/>
          <w:lang w:val="en-US"/>
        </w:rPr>
        <w:t xml:space="preserve"> </w:t>
      </w:r>
      <w:r w:rsidRPr="009803AD">
        <w:rPr>
          <w:b/>
          <w:bCs/>
          <w:color w:val="385623" w:themeColor="accent6" w:themeShade="80"/>
          <w:sz w:val="32"/>
          <w:szCs w:val="32"/>
          <w:lang w:val="en-US"/>
        </w:rPr>
        <w:t>Xu hướng giá kết thúc</w:t>
      </w:r>
    </w:p>
    <w:p w14:paraId="7E53D3A0" w14:textId="3D1E2665" w:rsidR="002C7B85" w:rsidRDefault="009803AD" w:rsidP="002C7B85">
      <w:pPr>
        <w:pStyle w:val="ListParagraph"/>
        <w:tabs>
          <w:tab w:val="left" w:pos="1052"/>
        </w:tabs>
        <w:spacing w:before="120" w:after="0" w:line="276" w:lineRule="auto"/>
        <w:ind w:left="1080"/>
        <w:contextualSpacing w:val="0"/>
        <w:rPr>
          <w:sz w:val="32"/>
          <w:szCs w:val="32"/>
          <w:lang w:val="en-US"/>
        </w:rPr>
      </w:pPr>
      <w:r>
        <w:rPr>
          <w:noProof/>
          <w:sz w:val="32"/>
          <w:szCs w:val="32"/>
          <w:lang w:val="en-US"/>
        </w:rPr>
        <w:drawing>
          <wp:inline distT="0" distB="0" distL="0" distR="0" wp14:anchorId="48B3CDE7" wp14:editId="50DF3B55">
            <wp:extent cx="6137910" cy="2987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4CC1E329" w14:textId="21F11C3F" w:rsidR="00577BE1" w:rsidRDefault="00644DA1" w:rsidP="00644DA1">
      <w:pPr>
        <w:pStyle w:val="ListParagraph"/>
        <w:tabs>
          <w:tab w:val="left" w:pos="1701"/>
          <w:tab w:val="left" w:pos="1843"/>
        </w:tabs>
        <w:spacing w:before="120" w:after="0" w:line="276" w:lineRule="auto"/>
        <w:ind w:left="0" w:firstLine="709"/>
        <w:contextualSpacing w:val="0"/>
        <w:rPr>
          <w:sz w:val="32"/>
          <w:szCs w:val="32"/>
          <w:lang w:val="en-US"/>
        </w:rPr>
      </w:pPr>
      <w:r>
        <w:rPr>
          <w:sz w:val="32"/>
          <w:szCs w:val="32"/>
          <w:lang w:val="en-US"/>
        </w:rPr>
        <w:t>Đường Sar là những đường chấm nếu nó nằm ở dưới đường giá thì nó dự báo su hướng tăng giá – Nếu nó cắt ngang và nằm ở trên đường giá thì nó chỉ báo cho một su hướng tăng kết thúc và su hướng giảm giá bắt đầu – khi đường Sar đi suống và lại cắt qua đường giá nó lại chỉ báo một su hướng giảm sẽ kết thúc và su hướng tăng sẽ bắt đầu.</w:t>
      </w:r>
    </w:p>
    <w:p w14:paraId="1DA3EA7A" w14:textId="39D56E8F" w:rsidR="009803AD" w:rsidRPr="0023440C" w:rsidRDefault="009803AD" w:rsidP="0023440C">
      <w:pPr>
        <w:pStyle w:val="ListParagraph"/>
        <w:numPr>
          <w:ilvl w:val="0"/>
          <w:numId w:val="8"/>
        </w:numPr>
        <w:tabs>
          <w:tab w:val="left" w:pos="709"/>
          <w:tab w:val="left" w:pos="851"/>
        </w:tabs>
        <w:spacing w:before="120" w:after="0" w:line="276" w:lineRule="auto"/>
        <w:ind w:hanging="371"/>
        <w:contextualSpacing w:val="0"/>
        <w:rPr>
          <w:b/>
          <w:bCs/>
          <w:color w:val="385623" w:themeColor="accent6" w:themeShade="80"/>
          <w:sz w:val="32"/>
          <w:szCs w:val="32"/>
          <w:lang w:val="en-US"/>
        </w:rPr>
      </w:pPr>
      <w:r>
        <w:rPr>
          <w:sz w:val="32"/>
          <w:szCs w:val="32"/>
          <w:lang w:val="en-US"/>
        </w:rPr>
        <w:t xml:space="preserve"> </w:t>
      </w:r>
      <w:r w:rsidRPr="0023440C">
        <w:rPr>
          <w:b/>
          <w:bCs/>
          <w:color w:val="385623" w:themeColor="accent6" w:themeShade="80"/>
          <w:sz w:val="32"/>
          <w:szCs w:val="32"/>
          <w:lang w:val="en-US"/>
        </w:rPr>
        <w:t>Cách ứng dụng điểm mua, điểm bán</w:t>
      </w:r>
    </w:p>
    <w:p w14:paraId="053E95FD" w14:textId="7CCF2F69" w:rsidR="0023440C" w:rsidRDefault="0023440C" w:rsidP="0023440C">
      <w:pPr>
        <w:pStyle w:val="ListParagraph"/>
        <w:tabs>
          <w:tab w:val="left" w:pos="1701"/>
          <w:tab w:val="left" w:pos="1843"/>
        </w:tabs>
        <w:spacing w:before="120" w:after="0" w:line="276" w:lineRule="auto"/>
        <w:ind w:left="0" w:firstLine="709"/>
        <w:contextualSpacing w:val="0"/>
        <w:rPr>
          <w:b/>
          <w:bCs/>
          <w:spacing w:val="-4"/>
          <w:sz w:val="32"/>
          <w:szCs w:val="32"/>
          <w:lang w:val="en-US"/>
        </w:rPr>
      </w:pPr>
      <w:r w:rsidRPr="00823A7F">
        <w:rPr>
          <w:spacing w:val="-4"/>
          <w:sz w:val="32"/>
          <w:szCs w:val="32"/>
          <w:lang w:val="en-US"/>
        </w:rPr>
        <w:t xml:space="preserve">Đường Sar khi cắt ngang và nằm ở trên đường giá thì nó chỉ báo cho một su hướng tăng kết thúc và su hướng giảm giá bắt đầu và </w:t>
      </w:r>
      <w:r w:rsidRPr="00823A7F">
        <w:rPr>
          <w:b/>
          <w:bCs/>
          <w:spacing w:val="-4"/>
          <w:sz w:val="32"/>
          <w:szCs w:val="32"/>
          <w:lang w:val="en-US"/>
        </w:rPr>
        <w:t xml:space="preserve">ta bắt đầu bán ra </w:t>
      </w:r>
      <w:r w:rsidRPr="00823A7F">
        <w:rPr>
          <w:spacing w:val="-4"/>
          <w:sz w:val="32"/>
          <w:szCs w:val="32"/>
          <w:lang w:val="en-US"/>
        </w:rPr>
        <w:t xml:space="preserve">– khi đường Sar đi suống và lại cắt qua đường giá nó lại chỉ báo một su hướng giảm sẽ kết thúc và su hướng tăng sẽ bắt đầu và </w:t>
      </w:r>
      <w:r w:rsidRPr="00823A7F">
        <w:rPr>
          <w:b/>
          <w:bCs/>
          <w:spacing w:val="-4"/>
          <w:sz w:val="32"/>
          <w:szCs w:val="32"/>
          <w:lang w:val="en-US"/>
        </w:rPr>
        <w:t>ta lại bắt đầu mua vào.</w:t>
      </w:r>
    </w:p>
    <w:p w14:paraId="335AB9EB" w14:textId="78638EF4" w:rsidR="00823A7F" w:rsidRPr="00823A7F" w:rsidRDefault="00823A7F" w:rsidP="0023440C">
      <w:pPr>
        <w:pStyle w:val="ListParagraph"/>
        <w:tabs>
          <w:tab w:val="left" w:pos="1701"/>
          <w:tab w:val="left" w:pos="1843"/>
        </w:tabs>
        <w:spacing w:before="120" w:after="0" w:line="276" w:lineRule="auto"/>
        <w:ind w:left="0" w:firstLine="709"/>
        <w:contextualSpacing w:val="0"/>
        <w:rPr>
          <w:b/>
          <w:bCs/>
          <w:spacing w:val="-4"/>
          <w:sz w:val="32"/>
          <w:szCs w:val="32"/>
          <w:lang w:val="en-US"/>
        </w:rPr>
      </w:pPr>
      <w:r>
        <w:rPr>
          <w:b/>
          <w:bCs/>
          <w:spacing w:val="-4"/>
          <w:sz w:val="32"/>
          <w:szCs w:val="32"/>
          <w:lang w:val="en-US"/>
        </w:rPr>
        <w:t>(*) Quy tắc 1,2,3 điểm</w:t>
      </w:r>
    </w:p>
    <w:p w14:paraId="495BFC06" w14:textId="6102E6E4" w:rsidR="00823A7F" w:rsidRPr="00823A7F" w:rsidRDefault="00823A7F" w:rsidP="0023440C">
      <w:pPr>
        <w:pStyle w:val="ListParagraph"/>
        <w:tabs>
          <w:tab w:val="left" w:pos="1701"/>
          <w:tab w:val="left" w:pos="1843"/>
        </w:tabs>
        <w:spacing w:before="120" w:after="0" w:line="276" w:lineRule="auto"/>
        <w:ind w:left="0" w:firstLine="709"/>
        <w:contextualSpacing w:val="0"/>
        <w:rPr>
          <w:spacing w:val="-4"/>
          <w:sz w:val="32"/>
          <w:szCs w:val="32"/>
          <w:lang w:val="en-US"/>
        </w:rPr>
      </w:pPr>
      <w:r w:rsidRPr="00823A7F">
        <w:rPr>
          <w:spacing w:val="-4"/>
          <w:sz w:val="32"/>
          <w:szCs w:val="32"/>
          <w:lang w:val="en-US"/>
        </w:rPr>
        <w:lastRenderedPageBreak/>
        <w:t>Song để chắc ăn hơn ngay khi su hướng thay đổi ta chưa mua và bán ngay mà phải chờ đến khi cây nến thứ 3 xuất hiện ta mới mua vào hoặc bán ra.</w:t>
      </w:r>
    </w:p>
    <w:p w14:paraId="4BFF3D57" w14:textId="0ABF6080" w:rsidR="00644DA1" w:rsidRPr="00823A7F" w:rsidRDefault="00823A7F" w:rsidP="00823A7F">
      <w:pPr>
        <w:tabs>
          <w:tab w:val="left" w:pos="1052"/>
          <w:tab w:val="left" w:pos="1134"/>
        </w:tabs>
        <w:spacing w:before="120" w:after="0" w:line="276" w:lineRule="auto"/>
        <w:rPr>
          <w:sz w:val="32"/>
          <w:szCs w:val="32"/>
          <w:lang w:val="en-US"/>
        </w:rPr>
      </w:pPr>
      <w:r>
        <w:rPr>
          <w:noProof/>
          <w:sz w:val="32"/>
          <w:szCs w:val="32"/>
          <w:lang w:val="en-US"/>
        </w:rPr>
        <w:drawing>
          <wp:inline distT="0" distB="0" distL="0" distR="0" wp14:anchorId="6AE5B409" wp14:editId="3256C72B">
            <wp:extent cx="6137910" cy="2987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153E167B" w14:textId="5F8CF068" w:rsidR="009803AD" w:rsidRDefault="00871BA1" w:rsidP="00871BA1">
      <w:pPr>
        <w:pStyle w:val="ListParagraph"/>
        <w:tabs>
          <w:tab w:val="left" w:pos="1701"/>
          <w:tab w:val="left" w:pos="1843"/>
        </w:tabs>
        <w:spacing w:before="120" w:after="0" w:line="276" w:lineRule="auto"/>
        <w:ind w:left="0" w:firstLine="709"/>
        <w:contextualSpacing w:val="0"/>
        <w:rPr>
          <w:szCs w:val="28"/>
          <w:lang w:val="en-US"/>
        </w:rPr>
      </w:pPr>
      <w:r>
        <w:rPr>
          <w:spacing w:val="-4"/>
          <w:sz w:val="32"/>
          <w:szCs w:val="32"/>
          <w:lang w:val="en-US"/>
        </w:rPr>
        <w:t xml:space="preserve">Trong thực tế nhiều khi không lên dập khuân máy móc như trên bởi vi nếu đợi cây nến thứ 3 mới bán thì tài khoản đã giảm tối đa là 21% rồi mà ta cần phải vận dụng </w:t>
      </w:r>
      <w:r>
        <w:rPr>
          <w:b/>
          <w:bCs/>
          <w:spacing w:val="-4"/>
          <w:sz w:val="32"/>
          <w:szCs w:val="32"/>
          <w:lang w:val="en-US"/>
        </w:rPr>
        <w:t xml:space="preserve">linh hoạt </w:t>
      </w:r>
      <w:r>
        <w:rPr>
          <w:spacing w:val="-4"/>
          <w:sz w:val="32"/>
          <w:szCs w:val="32"/>
          <w:lang w:val="en-US"/>
        </w:rPr>
        <w:t xml:space="preserve">các chỉ báo khác đó là dạng hình các cây nến và đường </w:t>
      </w:r>
      <w:r w:rsidRPr="00C979B0">
        <w:rPr>
          <w:szCs w:val="28"/>
          <w:lang w:val="en-US"/>
        </w:rPr>
        <w:t>Bollinger Band</w:t>
      </w:r>
      <w:r>
        <w:rPr>
          <w:szCs w:val="28"/>
          <w:lang w:val="en-US"/>
        </w:rPr>
        <w:t>.</w:t>
      </w:r>
    </w:p>
    <w:p w14:paraId="3CEFB0B4" w14:textId="60CFE4CA" w:rsidR="005B0941" w:rsidRDefault="005B0941" w:rsidP="005B0941">
      <w:pPr>
        <w:pStyle w:val="ListParagraph"/>
        <w:tabs>
          <w:tab w:val="left" w:pos="1701"/>
          <w:tab w:val="left" w:pos="1843"/>
        </w:tabs>
        <w:spacing w:before="120" w:after="0" w:line="276" w:lineRule="auto"/>
        <w:ind w:left="0"/>
        <w:contextualSpacing w:val="0"/>
        <w:rPr>
          <w:szCs w:val="28"/>
          <w:lang w:val="en-US"/>
        </w:rPr>
      </w:pPr>
      <w:r>
        <w:rPr>
          <w:noProof/>
          <w:szCs w:val="28"/>
          <w:lang w:val="en-US"/>
        </w:rPr>
        <w:drawing>
          <wp:inline distT="0" distB="0" distL="0" distR="0" wp14:anchorId="22891517" wp14:editId="7B9DF1E3">
            <wp:extent cx="6137910" cy="2987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2A3E7E20" w14:textId="5BBE40EB" w:rsidR="000B63E9" w:rsidRPr="000B63E9" w:rsidRDefault="000B63E9" w:rsidP="00871BA1">
      <w:pPr>
        <w:pStyle w:val="ListParagraph"/>
        <w:tabs>
          <w:tab w:val="left" w:pos="1701"/>
          <w:tab w:val="left" w:pos="1843"/>
        </w:tabs>
        <w:spacing w:before="120" w:after="0" w:line="276" w:lineRule="auto"/>
        <w:ind w:left="0" w:firstLine="709"/>
        <w:contextualSpacing w:val="0"/>
        <w:rPr>
          <w:b/>
          <w:bCs/>
          <w:sz w:val="32"/>
          <w:szCs w:val="32"/>
          <w:lang w:val="en-US"/>
        </w:rPr>
      </w:pPr>
      <w:r w:rsidRPr="000B63E9">
        <w:rPr>
          <w:b/>
          <w:bCs/>
          <w:sz w:val="32"/>
          <w:szCs w:val="32"/>
          <w:lang w:val="en-US"/>
        </w:rPr>
        <w:t>Lưu ý:</w:t>
      </w:r>
    </w:p>
    <w:p w14:paraId="716AEFE4" w14:textId="27DE0E29" w:rsidR="00871BA1" w:rsidRPr="000B63E9" w:rsidRDefault="000B63E9" w:rsidP="00871BA1">
      <w:pPr>
        <w:pStyle w:val="ListParagraph"/>
        <w:tabs>
          <w:tab w:val="left" w:pos="1701"/>
          <w:tab w:val="left" w:pos="1843"/>
        </w:tabs>
        <w:spacing w:before="120" w:after="0" w:line="276" w:lineRule="auto"/>
        <w:ind w:left="0" w:firstLine="709"/>
        <w:contextualSpacing w:val="0"/>
        <w:rPr>
          <w:sz w:val="32"/>
          <w:szCs w:val="32"/>
          <w:lang w:val="en-US"/>
        </w:rPr>
      </w:pPr>
      <w:r w:rsidRPr="000B63E9">
        <w:rPr>
          <w:sz w:val="32"/>
          <w:szCs w:val="32"/>
          <w:lang w:val="en-US"/>
        </w:rPr>
        <w:t>Khi su hướng tăng mạnh và rõ, đường giá dựng đứng và đường Sar chạm đường giá là ta phải bán ra ngay</w:t>
      </w:r>
      <w:r>
        <w:rPr>
          <w:sz w:val="32"/>
          <w:szCs w:val="32"/>
          <w:lang w:val="en-US"/>
        </w:rPr>
        <w:t xml:space="preserve"> không cần xem các chỉ báo khác vì </w:t>
      </w:r>
      <w:r>
        <w:rPr>
          <w:sz w:val="32"/>
          <w:szCs w:val="32"/>
          <w:lang w:val="en-US"/>
        </w:rPr>
        <w:lastRenderedPageBreak/>
        <w:t>khi su hướng tăng mạnh thì khi giảm nó cũng thường giảm rất mạnh cho lên nếu áp dụng máy móc quy tắc 1,2,3 thì bán quá muộn làm giảm lãi suất thậm chí còn lỗ.</w:t>
      </w:r>
    </w:p>
    <w:p w14:paraId="5BAC7CEE" w14:textId="0E97F18F" w:rsidR="00823A7F" w:rsidRPr="00923ECD" w:rsidRDefault="00823A7F" w:rsidP="002C7B85">
      <w:pPr>
        <w:pStyle w:val="ListParagraph"/>
        <w:numPr>
          <w:ilvl w:val="0"/>
          <w:numId w:val="8"/>
        </w:numPr>
        <w:tabs>
          <w:tab w:val="left" w:pos="1052"/>
          <w:tab w:val="left" w:pos="1134"/>
        </w:tabs>
        <w:spacing w:before="120" w:after="0" w:line="276" w:lineRule="auto"/>
        <w:ind w:hanging="371"/>
        <w:contextualSpacing w:val="0"/>
        <w:rPr>
          <w:b/>
          <w:bCs/>
          <w:color w:val="385623" w:themeColor="accent6" w:themeShade="80"/>
          <w:sz w:val="32"/>
          <w:szCs w:val="32"/>
          <w:lang w:val="en-US"/>
        </w:rPr>
      </w:pPr>
      <w:r w:rsidRPr="00923ECD">
        <w:rPr>
          <w:b/>
          <w:bCs/>
          <w:color w:val="385623" w:themeColor="accent6" w:themeShade="80"/>
          <w:sz w:val="32"/>
          <w:szCs w:val="32"/>
          <w:lang w:val="en-US"/>
        </w:rPr>
        <w:t xml:space="preserve"> </w:t>
      </w:r>
      <w:r w:rsidR="000B63E9" w:rsidRPr="00923ECD">
        <w:rPr>
          <w:b/>
          <w:bCs/>
          <w:color w:val="385623" w:themeColor="accent6" w:themeShade="80"/>
          <w:sz w:val="32"/>
          <w:szCs w:val="32"/>
          <w:lang w:val="en-US"/>
        </w:rPr>
        <w:t>Trường hợp không dùng Sar</w:t>
      </w:r>
    </w:p>
    <w:p w14:paraId="761ABE16" w14:textId="7094C269" w:rsidR="000B63E9" w:rsidRDefault="00923ECD" w:rsidP="00923ECD">
      <w:pPr>
        <w:pStyle w:val="ListParagraph"/>
        <w:tabs>
          <w:tab w:val="left" w:pos="1052"/>
          <w:tab w:val="left" w:pos="1134"/>
        </w:tabs>
        <w:spacing w:before="120" w:after="0" w:line="276" w:lineRule="auto"/>
        <w:ind w:left="1080" w:hanging="1080"/>
        <w:contextualSpacing w:val="0"/>
        <w:jc w:val="center"/>
        <w:rPr>
          <w:sz w:val="32"/>
          <w:szCs w:val="32"/>
          <w:lang w:val="en-US"/>
        </w:rPr>
      </w:pPr>
      <w:r>
        <w:rPr>
          <w:noProof/>
          <w:sz w:val="32"/>
          <w:szCs w:val="32"/>
          <w:lang w:val="en-US"/>
        </w:rPr>
        <w:drawing>
          <wp:inline distT="0" distB="0" distL="0" distR="0" wp14:anchorId="15F33B4C" wp14:editId="6F2552E9">
            <wp:extent cx="6137910" cy="2987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35172D55" w14:textId="3C174DFF" w:rsidR="00923ECD" w:rsidRDefault="00923ECD" w:rsidP="00923ECD">
      <w:pPr>
        <w:pStyle w:val="ListParagraph"/>
        <w:tabs>
          <w:tab w:val="left" w:pos="1418"/>
          <w:tab w:val="left" w:pos="1843"/>
        </w:tabs>
        <w:spacing w:before="120" w:after="0" w:line="276" w:lineRule="auto"/>
        <w:ind w:left="0" w:firstLine="709"/>
        <w:contextualSpacing w:val="0"/>
        <w:rPr>
          <w:sz w:val="32"/>
          <w:szCs w:val="32"/>
          <w:lang w:val="en-US"/>
        </w:rPr>
      </w:pPr>
      <w:r>
        <w:rPr>
          <w:sz w:val="32"/>
          <w:szCs w:val="32"/>
          <w:lang w:val="en-US"/>
        </w:rPr>
        <w:t>Sar để chỉ báo một su hướng kết thúc. Khi thị trường Side way (đi ngang) không rõ su hướng thì không áp dụng được đường Sar.</w:t>
      </w:r>
    </w:p>
    <w:p w14:paraId="3EC3E6E8" w14:textId="337B77A9" w:rsidR="000B63E9" w:rsidRDefault="000B63E9" w:rsidP="002C7B85">
      <w:pPr>
        <w:pStyle w:val="ListParagraph"/>
        <w:numPr>
          <w:ilvl w:val="0"/>
          <w:numId w:val="8"/>
        </w:numPr>
        <w:tabs>
          <w:tab w:val="left" w:pos="1052"/>
          <w:tab w:val="left" w:pos="1134"/>
        </w:tabs>
        <w:spacing w:before="120" w:after="0" w:line="276" w:lineRule="auto"/>
        <w:ind w:hanging="371"/>
        <w:contextualSpacing w:val="0"/>
        <w:rPr>
          <w:b/>
          <w:bCs/>
          <w:color w:val="385623" w:themeColor="accent6" w:themeShade="80"/>
          <w:sz w:val="32"/>
          <w:szCs w:val="32"/>
          <w:lang w:val="en-US"/>
        </w:rPr>
      </w:pPr>
      <w:r w:rsidRPr="00923ECD">
        <w:rPr>
          <w:b/>
          <w:bCs/>
          <w:color w:val="385623" w:themeColor="accent6" w:themeShade="80"/>
          <w:sz w:val="32"/>
          <w:szCs w:val="32"/>
          <w:lang w:val="en-US"/>
        </w:rPr>
        <w:t xml:space="preserve"> </w:t>
      </w:r>
      <w:r w:rsidR="00923ECD" w:rsidRPr="00923ECD">
        <w:rPr>
          <w:b/>
          <w:bCs/>
          <w:color w:val="385623" w:themeColor="accent6" w:themeShade="80"/>
          <w:sz w:val="32"/>
          <w:szCs w:val="32"/>
          <w:lang w:val="en-US"/>
        </w:rPr>
        <w:t>Thực hành trên biểu đồ</w:t>
      </w:r>
    </w:p>
    <w:p w14:paraId="22AA60AB" w14:textId="2D816E40" w:rsidR="00C309DA" w:rsidRDefault="00C309DA" w:rsidP="0057394B">
      <w:pPr>
        <w:tabs>
          <w:tab w:val="left" w:pos="1276"/>
        </w:tabs>
        <w:ind w:firstLine="709"/>
        <w:rPr>
          <w:sz w:val="32"/>
          <w:szCs w:val="32"/>
          <w:lang w:val="en-US"/>
        </w:rPr>
      </w:pPr>
      <w:r w:rsidRPr="00C309DA">
        <w:rPr>
          <w:sz w:val="32"/>
          <w:szCs w:val="32"/>
          <w:lang w:val="en-US"/>
        </w:rPr>
        <w:t>Nháy vào biểu tượng hình liền nét lên suống</w:t>
      </w:r>
      <w:r>
        <w:rPr>
          <w:sz w:val="32"/>
          <w:szCs w:val="32"/>
          <w:lang w:val="en-US"/>
        </w:rPr>
        <w:t xml:space="preserve"> </w:t>
      </w:r>
      <w:r>
        <w:rPr>
          <w:sz w:val="32"/>
          <w:szCs w:val="32"/>
          <w:lang w:val="en-US"/>
        </w:rPr>
        <w:sym w:font="Symbol" w:char="F0AE"/>
      </w:r>
      <w:r>
        <w:rPr>
          <w:sz w:val="32"/>
          <w:szCs w:val="32"/>
          <w:lang w:val="en-US"/>
        </w:rPr>
        <w:t xml:space="preserve"> vào </w:t>
      </w:r>
      <w:r w:rsidRPr="00C309DA">
        <w:rPr>
          <w:sz w:val="32"/>
          <w:szCs w:val="32"/>
          <w:lang w:val="en-US"/>
        </w:rPr>
        <w:t>Parabolic Sar</w:t>
      </w:r>
      <w:r w:rsidR="0057394B">
        <w:rPr>
          <w:sz w:val="32"/>
          <w:szCs w:val="32"/>
          <w:lang w:val="en-US"/>
        </w:rPr>
        <w:t xml:space="preserve"> (hoặc gõ tắt Sar) </w:t>
      </w:r>
      <w:r w:rsidR="0057394B">
        <w:rPr>
          <w:sz w:val="32"/>
          <w:szCs w:val="32"/>
          <w:lang w:val="en-US"/>
        </w:rPr>
        <w:sym w:font="Symbol" w:char="F0AE"/>
      </w:r>
      <w:r w:rsidR="0057394B">
        <w:rPr>
          <w:sz w:val="32"/>
          <w:szCs w:val="32"/>
          <w:lang w:val="en-US"/>
        </w:rPr>
        <w:t xml:space="preserve"> Công cụ sẽ hiện ra.</w:t>
      </w:r>
    </w:p>
    <w:p w14:paraId="596F4C0A" w14:textId="77777777" w:rsidR="0057394B" w:rsidRPr="00C309DA" w:rsidRDefault="0057394B" w:rsidP="0057394B">
      <w:pPr>
        <w:tabs>
          <w:tab w:val="left" w:pos="1276"/>
        </w:tabs>
        <w:rPr>
          <w:sz w:val="32"/>
          <w:szCs w:val="32"/>
          <w:lang w:val="en-US"/>
        </w:rPr>
      </w:pPr>
      <w:r>
        <w:rPr>
          <w:noProof/>
          <w:sz w:val="32"/>
          <w:szCs w:val="32"/>
          <w:lang w:val="en-US"/>
        </w:rPr>
        <w:drawing>
          <wp:inline distT="0" distB="0" distL="0" distR="0" wp14:anchorId="608B154E" wp14:editId="310747A1">
            <wp:extent cx="6137910" cy="2987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sectPr w:rsidR="0057394B" w:rsidRPr="00C309DA" w:rsidSect="00C979B0">
      <w:pgSz w:w="12240" w:h="15840"/>
      <w:pgMar w:top="964" w:right="1134" w:bottom="90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20B5"/>
    <w:multiLevelType w:val="hybridMultilevel"/>
    <w:tmpl w:val="4DECAE12"/>
    <w:lvl w:ilvl="0" w:tplc="67767126">
      <w:start w:val="1"/>
      <w:numFmt w:val="upperRoman"/>
      <w:lvlText w:val="%1."/>
      <w:lvlJc w:val="left"/>
      <w:pPr>
        <w:ind w:left="1429" w:hanging="72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 w15:restartNumberingAfterBreak="0">
    <w:nsid w:val="0FC817E1"/>
    <w:multiLevelType w:val="hybridMultilevel"/>
    <w:tmpl w:val="4DECAE12"/>
    <w:lvl w:ilvl="0" w:tplc="FFFFFFFF">
      <w:start w:val="1"/>
      <w:numFmt w:val="upperRoman"/>
      <w:lvlText w:val="%1."/>
      <w:lvlJc w:val="left"/>
      <w:pPr>
        <w:ind w:left="1429" w:hanging="72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303B7F70"/>
    <w:multiLevelType w:val="hybridMultilevel"/>
    <w:tmpl w:val="4DECAE12"/>
    <w:lvl w:ilvl="0" w:tplc="FFFFFFFF">
      <w:start w:val="1"/>
      <w:numFmt w:val="upperRoman"/>
      <w:lvlText w:val="%1."/>
      <w:lvlJc w:val="left"/>
      <w:pPr>
        <w:ind w:left="1429" w:hanging="72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32F764A6"/>
    <w:multiLevelType w:val="hybridMultilevel"/>
    <w:tmpl w:val="3014FD20"/>
    <w:lvl w:ilvl="0" w:tplc="914821DA">
      <w:start w:val="1"/>
      <w:numFmt w:val="bullet"/>
      <w:lvlText w:val="-"/>
      <w:lvlJc w:val="left"/>
      <w:pPr>
        <w:ind w:left="1789" w:hanging="360"/>
      </w:pPr>
      <w:rPr>
        <w:rFonts w:ascii="Times New Roman" w:eastAsiaTheme="minorHAnsi" w:hAnsi="Times New Roman" w:cs="Times New Roman" w:hint="default"/>
      </w:rPr>
    </w:lvl>
    <w:lvl w:ilvl="1" w:tplc="042A0003" w:tentative="1">
      <w:start w:val="1"/>
      <w:numFmt w:val="bullet"/>
      <w:lvlText w:val="o"/>
      <w:lvlJc w:val="left"/>
      <w:pPr>
        <w:ind w:left="2509" w:hanging="360"/>
      </w:pPr>
      <w:rPr>
        <w:rFonts w:ascii="Courier New" w:hAnsi="Courier New" w:cs="Courier New" w:hint="default"/>
      </w:rPr>
    </w:lvl>
    <w:lvl w:ilvl="2" w:tplc="042A0005" w:tentative="1">
      <w:start w:val="1"/>
      <w:numFmt w:val="bullet"/>
      <w:lvlText w:val=""/>
      <w:lvlJc w:val="left"/>
      <w:pPr>
        <w:ind w:left="3229" w:hanging="360"/>
      </w:pPr>
      <w:rPr>
        <w:rFonts w:ascii="Wingdings" w:hAnsi="Wingdings" w:hint="default"/>
      </w:rPr>
    </w:lvl>
    <w:lvl w:ilvl="3" w:tplc="042A0001" w:tentative="1">
      <w:start w:val="1"/>
      <w:numFmt w:val="bullet"/>
      <w:lvlText w:val=""/>
      <w:lvlJc w:val="left"/>
      <w:pPr>
        <w:ind w:left="3949" w:hanging="360"/>
      </w:pPr>
      <w:rPr>
        <w:rFonts w:ascii="Symbol" w:hAnsi="Symbol" w:hint="default"/>
      </w:rPr>
    </w:lvl>
    <w:lvl w:ilvl="4" w:tplc="042A0003" w:tentative="1">
      <w:start w:val="1"/>
      <w:numFmt w:val="bullet"/>
      <w:lvlText w:val="o"/>
      <w:lvlJc w:val="left"/>
      <w:pPr>
        <w:ind w:left="4669" w:hanging="360"/>
      </w:pPr>
      <w:rPr>
        <w:rFonts w:ascii="Courier New" w:hAnsi="Courier New" w:cs="Courier New" w:hint="default"/>
      </w:rPr>
    </w:lvl>
    <w:lvl w:ilvl="5" w:tplc="042A0005" w:tentative="1">
      <w:start w:val="1"/>
      <w:numFmt w:val="bullet"/>
      <w:lvlText w:val=""/>
      <w:lvlJc w:val="left"/>
      <w:pPr>
        <w:ind w:left="5389" w:hanging="360"/>
      </w:pPr>
      <w:rPr>
        <w:rFonts w:ascii="Wingdings" w:hAnsi="Wingdings" w:hint="default"/>
      </w:rPr>
    </w:lvl>
    <w:lvl w:ilvl="6" w:tplc="042A0001" w:tentative="1">
      <w:start w:val="1"/>
      <w:numFmt w:val="bullet"/>
      <w:lvlText w:val=""/>
      <w:lvlJc w:val="left"/>
      <w:pPr>
        <w:ind w:left="6109" w:hanging="360"/>
      </w:pPr>
      <w:rPr>
        <w:rFonts w:ascii="Symbol" w:hAnsi="Symbol" w:hint="default"/>
      </w:rPr>
    </w:lvl>
    <w:lvl w:ilvl="7" w:tplc="042A0003" w:tentative="1">
      <w:start w:val="1"/>
      <w:numFmt w:val="bullet"/>
      <w:lvlText w:val="o"/>
      <w:lvlJc w:val="left"/>
      <w:pPr>
        <w:ind w:left="6829" w:hanging="360"/>
      </w:pPr>
      <w:rPr>
        <w:rFonts w:ascii="Courier New" w:hAnsi="Courier New" w:cs="Courier New" w:hint="default"/>
      </w:rPr>
    </w:lvl>
    <w:lvl w:ilvl="8" w:tplc="042A0005" w:tentative="1">
      <w:start w:val="1"/>
      <w:numFmt w:val="bullet"/>
      <w:lvlText w:val=""/>
      <w:lvlJc w:val="left"/>
      <w:pPr>
        <w:ind w:left="7549" w:hanging="360"/>
      </w:pPr>
      <w:rPr>
        <w:rFonts w:ascii="Wingdings" w:hAnsi="Wingdings" w:hint="default"/>
      </w:rPr>
    </w:lvl>
  </w:abstractNum>
  <w:abstractNum w:abstractNumId="4" w15:restartNumberingAfterBreak="0">
    <w:nsid w:val="37767671"/>
    <w:multiLevelType w:val="hybridMultilevel"/>
    <w:tmpl w:val="39DE6E7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5" w15:restartNumberingAfterBreak="0">
    <w:nsid w:val="4652695D"/>
    <w:multiLevelType w:val="hybridMultilevel"/>
    <w:tmpl w:val="D92E3FA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561104DE"/>
    <w:multiLevelType w:val="hybridMultilevel"/>
    <w:tmpl w:val="7B305CCE"/>
    <w:lvl w:ilvl="0" w:tplc="00DEB774">
      <w:start w:val="1"/>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7" w15:restartNumberingAfterBreak="0">
    <w:nsid w:val="7B8C0943"/>
    <w:multiLevelType w:val="hybridMultilevel"/>
    <w:tmpl w:val="2FFC48F2"/>
    <w:lvl w:ilvl="0" w:tplc="B988280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C0"/>
    <w:rsid w:val="00070E5E"/>
    <w:rsid w:val="000B63E9"/>
    <w:rsid w:val="000F0DF2"/>
    <w:rsid w:val="001268E2"/>
    <w:rsid w:val="0019058B"/>
    <w:rsid w:val="001F17C0"/>
    <w:rsid w:val="001F4529"/>
    <w:rsid w:val="00211F3E"/>
    <w:rsid w:val="002327C6"/>
    <w:rsid w:val="0023440C"/>
    <w:rsid w:val="002A7958"/>
    <w:rsid w:val="002C7B85"/>
    <w:rsid w:val="00421863"/>
    <w:rsid w:val="004768AD"/>
    <w:rsid w:val="004F1E89"/>
    <w:rsid w:val="0057394B"/>
    <w:rsid w:val="00577BE1"/>
    <w:rsid w:val="005B0941"/>
    <w:rsid w:val="00644DA1"/>
    <w:rsid w:val="00676C51"/>
    <w:rsid w:val="006E1A28"/>
    <w:rsid w:val="00804ABE"/>
    <w:rsid w:val="00823A7F"/>
    <w:rsid w:val="00853893"/>
    <w:rsid w:val="008538CD"/>
    <w:rsid w:val="008571CC"/>
    <w:rsid w:val="00871BA1"/>
    <w:rsid w:val="008E7A57"/>
    <w:rsid w:val="00923ECD"/>
    <w:rsid w:val="009803AD"/>
    <w:rsid w:val="009C6840"/>
    <w:rsid w:val="00A03C6A"/>
    <w:rsid w:val="00A4488C"/>
    <w:rsid w:val="00A71613"/>
    <w:rsid w:val="00B059D0"/>
    <w:rsid w:val="00B96B3B"/>
    <w:rsid w:val="00B97AFA"/>
    <w:rsid w:val="00C309DA"/>
    <w:rsid w:val="00C725C0"/>
    <w:rsid w:val="00C979B0"/>
    <w:rsid w:val="00DC0516"/>
    <w:rsid w:val="00DE1738"/>
    <w:rsid w:val="00E3443E"/>
    <w:rsid w:val="00E6384A"/>
    <w:rsid w:val="00E8735E"/>
    <w:rsid w:val="00F064BD"/>
    <w:rsid w:val="00F93E80"/>
    <w:rsid w:val="00FF1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6DB7"/>
  <w15:chartTrackingRefBased/>
  <w15:docId w15:val="{EC6732E4-EE2C-492A-BF07-4E0CC7BE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Hai Nguyen</dc:creator>
  <cp:keywords/>
  <dc:description/>
  <cp:lastModifiedBy>Quang Hai Nguyen</cp:lastModifiedBy>
  <cp:revision>4</cp:revision>
  <dcterms:created xsi:type="dcterms:W3CDTF">2021-12-04T01:55:00Z</dcterms:created>
  <dcterms:modified xsi:type="dcterms:W3CDTF">2021-12-07T13:36:00Z</dcterms:modified>
</cp:coreProperties>
</file>