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Written Advice on Māori Data Governance and Sovereignty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highlight w:val="white"/>
          <w:rtl w:val="0"/>
        </w:rPr>
        <w:t xml:space="preserve">Removing </w:t>
      </w:r>
      <w:r w:rsidDel="00000000" w:rsidR="00000000" w:rsidRPr="00000000">
        <w:rPr>
          <w:highlight w:val="white"/>
          <w:rtl w:val="0"/>
        </w:rPr>
        <w:t xml:space="preserve">the census in favour of IDI data may look like an efficient, cheaper </w:t>
      </w:r>
      <w:r w:rsidDel="00000000" w:rsidR="00000000" w:rsidRPr="00000000">
        <w:rPr>
          <w:rtl w:val="0"/>
        </w:rPr>
        <w:t xml:space="preserve">alternative, but it poses risks to Māori communities. New Zealand is obliged to adhere to Māori Data Sovereignty, but the use of </w:t>
      </w:r>
      <w:r w:rsidDel="00000000" w:rsidR="00000000" w:rsidRPr="00000000">
        <w:rPr>
          <w:rtl w:val="0"/>
        </w:rPr>
        <w:t xml:space="preserve">IDI data violates the MDS principle of Kotahitanga, which means that collection and analysis of Māori data should benefit Māori.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Māori Data Sovereignty means Māori should have ownership, control and management over Māori data. Māori data is digital/digitisable knowledge from Māori people, language, culture, resources or environments.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risk of removing the census is inaccurate Māori population counts. The census counts ethnicity, descent and iwi affiliation. In the 2023 census, </w:t>
      </w:r>
      <w:r w:rsidDel="00000000" w:rsidR="00000000" w:rsidRPr="00000000">
        <w:rPr>
          <w:highlight w:val="white"/>
          <w:rtl w:val="0"/>
        </w:rPr>
        <w:t xml:space="preserve">16% of Māori didn’t identify ethnically as Māori, which means that the type of population count used is crucial, as this determines </w:t>
      </w:r>
      <w:r w:rsidDel="00000000" w:rsidR="00000000" w:rsidRPr="00000000">
        <w:rPr>
          <w:rtl w:val="0"/>
        </w:rPr>
        <w:t xml:space="preserve">funding for Māori resources, such as education and healthcare. Descent is generally considered as a more accurate count of Māori population, but u</w:t>
      </w:r>
      <w:r w:rsidDel="00000000" w:rsidR="00000000" w:rsidRPr="00000000">
        <w:rPr>
          <w:rtl w:val="0"/>
        </w:rPr>
        <w:t xml:space="preserve">sing the IDI to quantify the Māori descent population is problematic because of historical miscounts. This is because before 1998, birth certificates only considered people above a threshold of Māori ancestry as Māori. Therefore, the IDI may underestimate the Māori population, leading to lack of funding for Māori, and thus violating Kotahitanga.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solution is to consult with iwi, and use Māori-led data solutions to determine population counts. By putting Māori data in Māori hands, there is no bias in data analysis, and the whakapapa of the data is understood.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9293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9293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