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rFonts w:ascii="Arial" w:cs="Arial" w:eastAsia="Arial" w:hAnsi="Arial"/>
          <w:b/>
          <w:bCs/>
          <w:color w:val="1B2A4A"/>
          <w:sz w:val="36"/>
          <w:szCs w:val="36"/>
        </w:rPr>
        <w:t xml:space="preserve">Code Hardening &amp; Error Proofing</w:t>
      </w:r>
    </w:p>
    <w:p>
      <w:pPr>
        <w:spacing w:after="60"/>
        <w:jc w:val="center"/>
      </w:pPr>
      <w:r>
        <w:rPr>
          <w:rFonts w:ascii="Arial" w:cs="Arial" w:eastAsia="Arial" w:hAnsi="Arial"/>
          <w:color w:val="666666"/>
          <w:sz w:val="24"/>
          <w:szCs w:val="24"/>
        </w:rPr>
        <w:t xml:space="preserve">Polymarket Copy Trading Bot System</w:t>
      </w:r>
    </w:p>
    <w:p>
      <w:pPr>
        <w:spacing w:after="360"/>
        <w:jc w:val="center"/>
      </w:pPr>
      <w:r>
        <w:rPr>
          <w:rFonts w:ascii="Arial" w:cs="Arial" w:eastAsia="Arial" w:hAnsi="Arial"/>
          <w:color w:val="999999"/>
          <w:sz w:val="20"/>
          <w:szCs w:val="20"/>
        </w:rPr>
        <w:t xml:space="preserve">PPM Technical Reference Document</w:t>
      </w:r>
    </w:p>
    <w:p>
      <w:pPr>
        <w:spacing w:after="200" w:before="120"/>
      </w:pPr>
      <w:r>
        <w:rPr>
          <w:rFonts w:ascii="Arial" w:cs="Arial" w:eastAsia="Arial" w:hAnsi="Arial"/>
          <w:sz w:val="20"/>
          <w:szCs w:val="20"/>
        </w:rPr>
        <w:t xml:space="preserve">This document outlines the code hardening measures, error recovery mechanisms, and operational safety controls implemented across the Polymarket copy trading platform. Each measure addresses a specific failure mode identified during development and production paper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Controls</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 Resilience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controls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API, Network, SSL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Integrity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controls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Dedup, Migration, Import resumability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Operational Safety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controls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limits, Kill switch, Graceful shutdown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 Control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controls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tiered access, SQL injection prevention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improvements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Monorepo, unified DB, plugin system, dedup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Optimization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improvements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(zero LLM tokens), controlled MCP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 Validation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improvements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Backtesting engine, paper/live separation</w:t>
            </w:r>
          </w:p>
        </w:tc>
      </w:tr>
    </w:tbl>
    <w:p>
      <w:pPr>
        <w:pStyle w:val="Heading2"/>
        <w:spacing w:after="120" w:before="360"/>
      </w:pPr>
      <w:r>
        <w:rPr>
          <w:rFonts w:ascii="Arial" w:cs="Arial" w:eastAsia="Arial" w:hAnsi="Arial"/>
          <w:b/>
          <w:bCs/>
          <w:color w:val="1B2A4A"/>
          <w:sz w:val="26"/>
          <w:szCs w:val="26"/>
        </w:rPr>
        <w:t xml:space="preserve">1. Database Connection Resilience</w:t>
      </w:r>
    </w:p>
    <w:p>
      <w:pPr>
        <w:spacing w:after="60" w:before="60"/>
      </w:pPr>
      <w:r>
        <w:rPr>
          <w:rFonts w:ascii="Arial" w:cs="Arial" w:eastAsia="Arial" w:hAnsi="Arial"/>
          <w:b/>
          <w:bCs/>
          <w:sz w:val="20"/>
          <w:szCs w:val="20"/>
        </w:rPr>
        <w:t xml:space="preserve">Problem: </w:t>
      </w:r>
      <w:r>
        <w:rPr>
          <w:rFonts w:ascii="Arial" w:cs="Arial" w:eastAsia="Arial" w:hAnsi="Arial"/>
          <w:sz w:val="20"/>
          <w:szCs w:val="20"/>
        </w:rPr>
        <w:t xml:space="preserve">Cloud PostgreSQL instances require SSL connections, but self-signed certificates are rejected by default, causing connection failures in production.</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Auto-detect remote vs local connections and configure SSL handling accordingly.</w:t>
      </w:r>
    </w:p>
    <w:p>
      <w:pPr>
        <w:spacing w:after="100" w:before="100"/>
      </w:pPr>
      <w:r>
        <w:rPr>
          <w:rFonts w:ascii="Courier New" w:cs="Courier New" w:eastAsia="Courier New" w:hAnsi="Courier New"/>
          <w:color w:val="2E2E2E"/>
          <w:sz w:val="18"/>
          <w:szCs w:val="18"/>
        </w:rPr>
        <w:t xml:space="preserve">// packages/core/src/db/pool.ts</w:t>
      </w:r>
    </w:p>
    <w:p>
      <w:pPr>
        <w:spacing w:after="100" w:before="100"/>
      </w:pPr>
      <w:r>
        <w:rPr>
          <w:rFonts w:ascii="Courier New" w:cs="Courier New" w:eastAsia="Courier New" w:hAnsi="Courier New"/>
          <w:color w:val="2E2E2E"/>
          <w:sz w:val="18"/>
          <w:szCs w:val="18"/>
        </w:rPr>
        <w:t xml:space="preserve">const ssl = config.database.url.includes('localhost')</w:t>
      </w:r>
    </w:p>
    <w:p>
      <w:pPr>
        <w:spacing w:after="100" w:before="100"/>
      </w:pPr>
      <w:r>
        <w:rPr>
          <w:rFonts w:ascii="Courier New" w:cs="Courier New" w:eastAsia="Courier New" w:hAnsi="Courier New"/>
          <w:color w:val="2E2E2E"/>
          <w:sz w:val="18"/>
          <w:szCs w:val="18"/>
        </w:rPr>
        <w:t xml:space="preserve">  ? false</w:t>
      </w:r>
    </w:p>
    <w:p>
      <w:pPr>
        <w:spacing w:after="100" w:before="100"/>
      </w:pPr>
      <w:r>
        <w:rPr>
          <w:rFonts w:ascii="Courier New" w:cs="Courier New" w:eastAsia="Courier New" w:hAnsi="Courier New"/>
          <w:color w:val="2E2E2E"/>
          <w:sz w:val="18"/>
          <w:szCs w:val="18"/>
        </w:rPr>
        <w:t xml:space="preserve">  : { rejectUnauthorized: false };</w:t>
      </w:r>
    </w:p>
    <w:p>
      <w:pPr>
        <w:spacing w:after="60" w:before="60"/>
      </w:pPr>
      <w:r>
        <w:rPr>
          <w:rFonts w:ascii="Arial" w:cs="Arial" w:eastAsia="Arial" w:hAnsi="Arial"/>
          <w:sz w:val="20"/>
          <w:szCs w:val="20"/>
        </w:rPr>
        <w:t xml:space="preserve">This ensures local development works without SSL overhead while production connections are always encrypted.</w:t>
      </w:r>
    </w:p>
    <w:p>
      <w:pPr>
        <w:pStyle w:val="Heading2"/>
        <w:spacing w:after="120" w:before="360"/>
      </w:pPr>
      <w:r>
        <w:rPr>
          <w:rFonts w:ascii="Arial" w:cs="Arial" w:eastAsia="Arial" w:hAnsi="Arial"/>
          <w:b/>
          <w:bCs/>
          <w:color w:val="1B2A4A"/>
          <w:sz w:val="26"/>
          <w:szCs w:val="26"/>
        </w:rPr>
        <w:t xml:space="preserve">2. Bulk Insert Error Recovery</w:t>
      </w:r>
    </w:p>
    <w:p>
      <w:pPr>
        <w:spacing w:after="60" w:before="60"/>
      </w:pPr>
      <w:r>
        <w:rPr>
          <w:rFonts w:ascii="Arial" w:cs="Arial" w:eastAsia="Arial" w:hAnsi="Arial"/>
          <w:b/>
          <w:bCs/>
          <w:sz w:val="20"/>
          <w:szCs w:val="20"/>
        </w:rPr>
        <w:t xml:space="preserve">Problem: </w:t>
      </w:r>
      <w:r>
        <w:rPr>
          <w:rFonts w:ascii="Arial" w:cs="Arial" w:eastAsia="Arial" w:hAnsi="Arial"/>
          <w:sz w:val="20"/>
          <w:szCs w:val="20"/>
        </w:rPr>
        <w:t xml:space="preserve">A single malformed row in a 500-row bulk INSERT causes the entire batch to fail, resulting in data loss during large imports (19M+ trade records).</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On batch failure, automatically fall back to row-by-row insertion to isolate and skip only the problematic records.</w:t>
      </w:r>
    </w:p>
    <w:p>
      <w:pPr>
        <w:spacing w:after="100" w:before="100"/>
      </w:pPr>
      <w:r>
        <w:rPr>
          <w:rFonts w:ascii="Courier New" w:cs="Courier New" w:eastAsia="Courier New" w:hAnsi="Courier New"/>
          <w:color w:val="2E2E2E"/>
          <w:sz w:val="18"/>
          <w:szCs w:val="18"/>
        </w:rPr>
        <w:t xml:space="preserve">try {</w:t>
      </w:r>
    </w:p>
    <w:p>
      <w:pPr>
        <w:spacing w:after="100" w:before="100"/>
      </w:pPr>
      <w:r>
        <w:rPr>
          <w:rFonts w:ascii="Courier New" w:cs="Courier New" w:eastAsia="Courier New" w:hAnsi="Courier New"/>
          <w:color w:val="2E2E2E"/>
          <w:sz w:val="18"/>
          <w:szCs w:val="18"/>
        </w:rPr>
        <w:t xml:space="preserve">  await targetPool.query(bulkSQL, params);  // 500 rows</w:t>
      </w:r>
    </w:p>
    <w:p>
      <w:pPr>
        <w:spacing w:after="100" w:before="100"/>
      </w:pPr>
      <w:r>
        <w:rPr>
          <w:rFonts w:ascii="Courier New" w:cs="Courier New" w:eastAsia="Courier New" w:hAnsi="Courier New"/>
          <w:color w:val="2E2E2E"/>
          <w:sz w:val="18"/>
          <w:szCs w:val="18"/>
        </w:rPr>
        <w:t xml:space="preserve">} catch (err) {</w:t>
      </w:r>
    </w:p>
    <w:p>
      <w:pPr>
        <w:spacing w:after="100" w:before="100"/>
      </w:pPr>
      <w:r>
        <w:rPr>
          <w:rFonts w:ascii="Courier New" w:cs="Courier New" w:eastAsia="Courier New" w:hAnsi="Courier New"/>
          <w:color w:val="2E2E2E"/>
          <w:sz w:val="18"/>
          <w:szCs w:val="18"/>
        </w:rPr>
        <w:t xml:space="preserve">  for (const row of chunk) {</w:t>
      </w:r>
    </w:p>
    <w:p>
      <w:pPr>
        <w:spacing w:after="100" w:before="100"/>
      </w:pPr>
      <w:r>
        <w:rPr>
          <w:rFonts w:ascii="Courier New" w:cs="Courier New" w:eastAsia="Courier New" w:hAnsi="Courier New"/>
          <w:color w:val="2E2E2E"/>
          <w:sz w:val="18"/>
          <w:szCs w:val="18"/>
        </w:rPr>
        <w:t xml:space="preserve">    try { await query(singleSQL, row); } catch { }</w:t>
      </w:r>
    </w:p>
    <w:p>
      <w:pPr>
        <w:spacing w:after="100" w:before="100"/>
      </w:pPr>
      <w:r>
        <w:rPr>
          <w:rFonts w:ascii="Courier New" w:cs="Courier New" w:eastAsia="Courier New" w:hAnsi="Courier New"/>
          <w:color w:val="2E2E2E"/>
          <w:sz w:val="18"/>
          <w:szCs w:val="18"/>
        </w:rPr>
        <w:t xml:space="preserve">  }</w:t>
      </w:r>
    </w:p>
    <w:p>
      <w:pPr>
        <w:spacing w:after="100" w:before="100"/>
      </w:pPr>
      <w:r>
        <w:rPr>
          <w:rFonts w:ascii="Courier New" w:cs="Courier New" w:eastAsia="Courier New" w:hAnsi="Courier New"/>
          <w:color w:val="2E2E2E"/>
          <w:sz w:val="18"/>
          <w:szCs w:val="18"/>
        </w:rPr>
        <w:t xml:space="preserve">}</w:t>
      </w:r>
    </w:p>
    <w:p>
      <w:pPr>
        <w:spacing w:after="60" w:before="60"/>
      </w:pPr>
      <w:r>
        <w:rPr>
          <w:rFonts w:ascii="Arial" w:cs="Arial" w:eastAsia="Arial" w:hAnsi="Arial"/>
          <w:sz w:val="20"/>
          <w:szCs w:val="20"/>
        </w:rPr>
        <w:t xml:space="preserve">This two-tier approach maximizes throughput (bulk) while ensuring no silent data loss (fallback).</w:t>
      </w:r>
    </w:p>
    <w:p>
      <w:pPr>
        <w:pStyle w:val="Heading2"/>
        <w:spacing w:after="120" w:before="360"/>
      </w:pPr>
      <w:r>
        <w:rPr>
          <w:rFonts w:ascii="Arial" w:cs="Arial" w:eastAsia="Arial" w:hAnsi="Arial"/>
          <w:b/>
          <w:bCs/>
          <w:color w:val="1B2A4A"/>
          <w:sz w:val="26"/>
          <w:szCs w:val="26"/>
        </w:rPr>
        <w:t xml:space="preserve">3. Signal Deduplication</w:t>
      </w:r>
    </w:p>
    <w:p>
      <w:pPr>
        <w:spacing w:after="60" w:before="60"/>
      </w:pPr>
      <w:r>
        <w:rPr>
          <w:rFonts w:ascii="Arial" w:cs="Arial" w:eastAsia="Arial" w:hAnsi="Arial"/>
          <w:b/>
          <w:bCs/>
          <w:sz w:val="20"/>
          <w:szCs w:val="20"/>
        </w:rPr>
        <w:t xml:space="preserve">Problem: </w:t>
      </w:r>
      <w:r>
        <w:rPr>
          <w:rFonts w:ascii="Arial" w:cs="Arial" w:eastAsia="Arial" w:hAnsi="Arial"/>
          <w:sz w:val="20"/>
          <w:szCs w:val="20"/>
        </w:rPr>
        <w:t xml:space="preserve">The copy trading engine polls target traders every 60 seconds. The same trade can be detected across multiple polling cycles, leading to duplicate positions.</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Timestamp-window deduplication with a +/- 1 second tolerance window.</w:t>
      </w:r>
    </w:p>
    <w:p>
      <w:pPr>
        <w:spacing w:after="100" w:before="100"/>
      </w:pPr>
      <w:r>
        <w:rPr>
          <w:rFonts w:ascii="Courier New" w:cs="Courier New" w:eastAsia="Courier New" w:hAnsi="Courier New"/>
          <w:color w:val="2E2E2E"/>
          <w:sz w:val="18"/>
          <w:szCs w:val="18"/>
        </w:rPr>
        <w:t xml:space="preserve">SELECT 1 FROM copy_signals</w:t>
      </w:r>
    </w:p>
    <w:p>
      <w:pPr>
        <w:spacing w:after="100" w:before="100"/>
      </w:pPr>
      <w:r>
        <w:rPr>
          <w:rFonts w:ascii="Courier New" w:cs="Courier New" w:eastAsia="Courier New" w:hAnsi="Courier New"/>
          <w:color w:val="2E2E2E"/>
          <w:sz w:val="18"/>
          <w:szCs w:val="18"/>
        </w:rPr>
        <w:t xml:space="preserve">WHERE proxy_wallet = $1 AND condition_id = $2</w:t>
      </w:r>
    </w:p>
    <w:p>
      <w:pPr>
        <w:spacing w:after="100" w:before="100"/>
      </w:pPr>
      <w:r>
        <w:rPr>
          <w:rFonts w:ascii="Courier New" w:cs="Courier New" w:eastAsia="Courier New" w:hAnsi="Courier New"/>
          <w:color w:val="2E2E2E"/>
          <w:sz w:val="18"/>
          <w:szCs w:val="18"/>
        </w:rPr>
        <w:t xml:space="preserve">  AND detected_at &gt;= to_timestamp($5) - INTERVAL '1 second'</w:t>
      </w:r>
    </w:p>
    <w:p>
      <w:pPr>
        <w:spacing w:after="100" w:before="100"/>
      </w:pPr>
      <w:r>
        <w:rPr>
          <w:rFonts w:ascii="Courier New" w:cs="Courier New" w:eastAsia="Courier New" w:hAnsi="Courier New"/>
          <w:color w:val="2E2E2E"/>
          <w:sz w:val="18"/>
          <w:szCs w:val="18"/>
        </w:rPr>
        <w:t xml:space="preserve">  AND detected_at &lt;= to_timestamp($5) + INTERVAL '1 second'</w:t>
      </w:r>
    </w:p>
    <w:p>
      <w:pPr>
        <w:spacing w:after="60" w:before="60"/>
      </w:pPr>
      <w:r>
        <w:rPr>
          <w:rFonts w:ascii="Arial" w:cs="Arial" w:eastAsia="Arial" w:hAnsi="Arial"/>
          <w:sz w:val="20"/>
          <w:szCs w:val="20"/>
        </w:rPr>
        <w:t xml:space="preserve">Every detected signal is logged to an audit trail (copy_signals table), enabling both deduplication and post-hoc analysis of signal quality.</w:t>
      </w:r>
    </w:p>
    <w:p>
      <w:pPr>
        <w:pStyle w:val="Heading2"/>
        <w:spacing w:after="120" w:before="360"/>
      </w:pPr>
      <w:r>
        <w:rPr>
          <w:rFonts w:ascii="Arial" w:cs="Arial" w:eastAsia="Arial" w:hAnsi="Arial"/>
          <w:b/>
          <w:bCs/>
          <w:color w:val="1B2A4A"/>
          <w:sz w:val="26"/>
          <w:szCs w:val="26"/>
        </w:rPr>
        <w:t xml:space="preserve">4. Paper Trading Risk Controls (7-Layer Filter)</w:t>
      </w:r>
    </w:p>
    <w:p>
      <w:pPr>
        <w:spacing w:after="60" w:before="60"/>
      </w:pPr>
      <w:r>
        <w:rPr>
          <w:rFonts w:ascii="Arial" w:cs="Arial" w:eastAsia="Arial" w:hAnsi="Arial"/>
          <w:b/>
          <w:bCs/>
          <w:sz w:val="20"/>
          <w:szCs w:val="20"/>
        </w:rPr>
        <w:t xml:space="preserve">Problem: </w:t>
      </w:r>
      <w:r>
        <w:rPr>
          <w:rFonts w:ascii="Arial" w:cs="Arial" w:eastAsia="Arial" w:hAnsi="Arial"/>
          <w:sz w:val="20"/>
          <w:szCs w:val="20"/>
        </w:rPr>
        <w:t xml:space="preserve">Unbounded position taking without safeguards could lead to excessive exposure and catastrophic losses.</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Every copy signal must pass all 7 pre-flight checks before a position is opened: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Exists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be in tracked markets DB</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 unknown/untracked markets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Active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closed or resolved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Don't trade dead markets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Buffer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Resolution &gt;= N hours away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Avoid last-minute illiquidity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Cap</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&lt;= max threshold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 overpaying (e.g., $0.70)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 Limit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positions &lt; max limit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 concentration cap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Loss Limit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Realized losses &lt; daily cap</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Circuit breaker on losing days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Duplicates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position per market per target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 double exposure</w:t>
            </w:r>
          </w:p>
        </w:tc>
      </w:tr>
    </w:tbl>
    <w:p>
      <w:pPr>
        <w:spacing w:after="60" w:before="60"/>
      </w:pPr>
      <w:r>
        <w:rPr>
          <w:rFonts w:ascii="Arial" w:cs="Arial" w:eastAsia="Arial" w:hAnsi="Arial"/>
          <w:sz w:val="20"/>
          <w:szCs w:val="20"/>
        </w:rPr>
        <w:t xml:space="preserve">Each failed filter logs a specific skip_reason to the audit trail for performance analysis.</w:t>
      </w:r>
    </w:p>
    <w:p>
      <w:pPr>
        <w:pStyle w:val="Heading2"/>
        <w:spacing w:after="120" w:before="360"/>
      </w:pPr>
      <w:r>
        <w:rPr>
          <w:rFonts w:ascii="Arial" w:cs="Arial" w:eastAsia="Arial" w:hAnsi="Arial"/>
          <w:b/>
          <w:bCs/>
          <w:color w:val="1B2A4A"/>
          <w:sz w:val="26"/>
          <w:szCs w:val="26"/>
        </w:rPr>
        <w:t xml:space="preserve">5. Graceful Shutdown Handling</w:t>
      </w:r>
    </w:p>
    <w:p>
      <w:pPr>
        <w:spacing w:after="60" w:before="60"/>
      </w:pPr>
      <w:r>
        <w:rPr>
          <w:rFonts w:ascii="Arial" w:cs="Arial" w:eastAsia="Arial" w:hAnsi="Arial"/>
          <w:b/>
          <w:bCs/>
          <w:sz w:val="20"/>
          <w:szCs w:val="20"/>
        </w:rPr>
        <w:t xml:space="preserve">Problem: </w:t>
      </w:r>
      <w:r>
        <w:rPr>
          <w:rFonts w:ascii="Arial" w:cs="Arial" w:eastAsia="Arial" w:hAnsi="Arial"/>
          <w:sz w:val="20"/>
          <w:szCs w:val="20"/>
        </w:rPr>
        <w:t xml:space="preserve">Terminating the paper trading bot mid-cycle could leave the database in an inconsistent state (e.g., balance deducted but position not recorded).</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SIGINT/SIGTERM signal handlers set a flag that the main loop checks between operations.</w:t>
      </w:r>
    </w:p>
    <w:p>
      <w:pPr>
        <w:spacing w:after="100" w:before="100"/>
      </w:pPr>
      <w:r>
        <w:rPr>
          <w:rFonts w:ascii="Courier New" w:cs="Courier New" w:eastAsia="Courier New" w:hAnsi="Courier New"/>
          <w:color w:val="2E2E2E"/>
          <w:sz w:val="18"/>
          <w:szCs w:val="18"/>
        </w:rPr>
        <w:t xml:space="preserve">process.on('SIGINT', () =&gt; { running = false; });</w:t>
      </w:r>
    </w:p>
    <w:p>
      <w:pPr>
        <w:spacing w:after="100" w:before="100"/>
      </w:pPr>
      <w:r>
        <w:rPr>
          <w:rFonts w:ascii="Courier New" w:cs="Courier New" w:eastAsia="Courier New" w:hAnsi="Courier New"/>
          <w:color w:val="2E2E2E"/>
          <w:sz w:val="18"/>
          <w:szCs w:val="18"/>
        </w:rPr>
        <w:t xml:space="preserve">process.on('SIGTERM', () =&gt; { running = false; });</w:t>
      </w:r>
    </w:p>
    <w:p>
      <w:pPr>
        <w:spacing w:after="100" w:before="100"/>
      </w:pPr>
      <w:r>
        <w:rPr>
          <w:rFonts w:ascii="Courier New" w:cs="Courier New" w:eastAsia="Courier New" w:hAnsi="Courier New"/>
          <w:color w:val="2E2E2E"/>
          <w:sz w:val="18"/>
          <w:szCs w:val="18"/>
        </w:rPr>
        <w:t xml:space="preserve">// Main loop checks 'running' between each operation</w:t>
      </w:r>
    </w:p>
    <w:p>
      <w:pPr>
        <w:spacing w:after="60" w:before="60"/>
      </w:pPr>
      <w:r>
        <w:rPr>
          <w:rFonts w:ascii="Arial" w:cs="Arial" w:eastAsia="Arial" w:hAnsi="Arial"/>
          <w:sz w:val="20"/>
          <w:szCs w:val="20"/>
        </w:rPr>
        <w:t xml:space="preserve">The bot completes the current cycle before exiting, ensuring all database operations are atomic and consistent.</w:t>
      </w:r>
    </w:p>
    <w:p>
      <w:pPr>
        <w:pStyle w:val="Heading2"/>
        <w:spacing w:after="120" w:before="360"/>
      </w:pPr>
      <w:r>
        <w:rPr>
          <w:rFonts w:ascii="Arial" w:cs="Arial" w:eastAsia="Arial" w:hAnsi="Arial"/>
          <w:b/>
          <w:bCs/>
          <w:color w:val="1B2A4A"/>
          <w:sz w:val="26"/>
          <w:szCs w:val="26"/>
        </w:rPr>
        <w:t xml:space="preserve">6. API Rate Limiting</w:t>
      </w:r>
    </w:p>
    <w:p>
      <w:pPr>
        <w:spacing w:after="60" w:before="60"/>
      </w:pPr>
      <w:r>
        <w:rPr>
          <w:rFonts w:ascii="Arial" w:cs="Arial" w:eastAsia="Arial" w:hAnsi="Arial"/>
          <w:b/>
          <w:bCs/>
          <w:sz w:val="20"/>
          <w:szCs w:val="20"/>
        </w:rPr>
        <w:t xml:space="preserve">Problem: </w:t>
      </w:r>
      <w:r>
        <w:rPr>
          <w:rFonts w:ascii="Arial" w:cs="Arial" w:eastAsia="Arial" w:hAnsi="Arial"/>
          <w:sz w:val="20"/>
          <w:szCs w:val="20"/>
        </w:rPr>
        <w:t xml:space="preserve">Polymarket APIs return HTTP 429 (Too Many Requests) when hit too rapidly, causing cascading failures during market scans.</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Configurable delay between all paginated API requests (default 150-200ms).</w:t>
      </w:r>
    </w:p>
    <w:p>
      <w:pPr>
        <w:spacing w:after="100" w:before="100"/>
      </w:pPr>
      <w:r>
        <w:rPr>
          <w:rFonts w:ascii="Courier New" w:cs="Courier New" w:eastAsia="Courier New" w:hAnsi="Courier New"/>
          <w:color w:val="2E2E2E"/>
          <w:sz w:val="18"/>
          <w:szCs w:val="18"/>
        </w:rPr>
        <w:t xml:space="preserve">// Between every paginated API call</w:t>
      </w:r>
    </w:p>
    <w:p>
      <w:pPr>
        <w:spacing w:after="100" w:before="100"/>
      </w:pPr>
      <w:r>
        <w:rPr>
          <w:rFonts w:ascii="Courier New" w:cs="Courier New" w:eastAsia="Courier New" w:hAnsi="Courier New"/>
          <w:color w:val="2E2E2E"/>
          <w:sz w:val="18"/>
          <w:szCs w:val="18"/>
        </w:rPr>
        <w:t xml:space="preserve">await sleep(config.api.requestDelayMs);  // 150-200ms</w:t>
      </w:r>
    </w:p>
    <w:p>
      <w:pPr>
        <w:spacing w:after="60" w:before="60"/>
      </w:pPr>
      <w:r>
        <w:rPr>
          <w:rFonts w:ascii="Arial" w:cs="Arial" w:eastAsia="Arial" w:hAnsi="Arial"/>
          <w:sz w:val="20"/>
          <w:szCs w:val="20"/>
        </w:rPr>
        <w:t xml:space="preserve">The delay is applied consistently across Gamma (market catalog), Data (trade history), and CLOB (pricing) API clients.</w:t>
      </w:r>
    </w:p>
    <w:p>
      <w:pPr>
        <w:pStyle w:val="Heading2"/>
        <w:spacing w:after="120" w:before="360"/>
      </w:pPr>
      <w:r>
        <w:rPr>
          <w:rFonts w:ascii="Arial" w:cs="Arial" w:eastAsia="Arial" w:hAnsi="Arial"/>
          <w:b/>
          <w:bCs/>
          <w:color w:val="1B2A4A"/>
          <w:sz w:val="26"/>
          <w:szCs w:val="26"/>
        </w:rPr>
        <w:t xml:space="preserve">7. CLOB Price Fallback</w:t>
      </w:r>
    </w:p>
    <w:p>
      <w:pPr>
        <w:spacing w:after="60" w:before="60"/>
      </w:pPr>
      <w:r>
        <w:rPr>
          <w:rFonts w:ascii="Arial" w:cs="Arial" w:eastAsia="Arial" w:hAnsi="Arial"/>
          <w:b/>
          <w:bCs/>
          <w:sz w:val="20"/>
          <w:szCs w:val="20"/>
        </w:rPr>
        <w:t xml:space="preserve">Problem: </w:t>
      </w:r>
      <w:r>
        <w:rPr>
          <w:rFonts w:ascii="Arial" w:cs="Arial" w:eastAsia="Arial" w:hAnsi="Arial"/>
          <w:sz w:val="20"/>
          <w:szCs w:val="20"/>
        </w:rPr>
        <w:t xml:space="preserve">Live midpoint pricing may be unavailable due to API errors, network issues, or illiquid markets, blocking position entry.</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Graceful fallback to the source trade price when CLOB midpoint is unavailable.</w:t>
      </w:r>
    </w:p>
    <w:p>
      <w:pPr>
        <w:spacing w:after="100" w:before="100"/>
      </w:pPr>
      <w:r>
        <w:rPr>
          <w:rFonts w:ascii="Courier New" w:cs="Courier New" w:eastAsia="Courier New" w:hAnsi="Courier New"/>
          <w:color w:val="2E2E2E"/>
          <w:sz w:val="18"/>
          <w:szCs w:val="18"/>
        </w:rPr>
        <w:t xml:space="preserve">let entryPrice = trade.price;  // default fallback</w:t>
      </w:r>
    </w:p>
    <w:p>
      <w:pPr>
        <w:spacing w:after="100" w:before="100"/>
      </w:pPr>
      <w:r>
        <w:rPr>
          <w:rFonts w:ascii="Courier New" w:cs="Courier New" w:eastAsia="Courier New" w:hAnsi="Courier New"/>
          <w:color w:val="2E2E2E"/>
          <w:sz w:val="18"/>
          <w:szCs w:val="18"/>
        </w:rPr>
        <w:t xml:space="preserve">try {</w:t>
      </w:r>
    </w:p>
    <w:p>
      <w:pPr>
        <w:spacing w:after="100" w:before="100"/>
      </w:pPr>
      <w:r>
        <w:rPr>
          <w:rFonts w:ascii="Courier New" w:cs="Courier New" w:eastAsia="Courier New" w:hAnsi="Courier New"/>
          <w:color w:val="2E2E2E"/>
          <w:sz w:val="18"/>
          <w:szCs w:val="18"/>
        </w:rPr>
        <w:t xml:space="preserve">  const mid = await getMidpoint(tokenId);</w:t>
      </w:r>
    </w:p>
    <w:p>
      <w:pPr>
        <w:spacing w:after="100" w:before="100"/>
      </w:pPr>
      <w:r>
        <w:rPr>
          <w:rFonts w:ascii="Courier New" w:cs="Courier New" w:eastAsia="Courier New" w:hAnsi="Courier New"/>
          <w:color w:val="2E2E2E"/>
          <w:sz w:val="18"/>
          <w:szCs w:val="18"/>
        </w:rPr>
        <w:t xml:space="preserve">  entryPrice = parseFloat(mid.mid) || trade.price;</w:t>
      </w:r>
    </w:p>
    <w:p>
      <w:pPr>
        <w:spacing w:after="100" w:before="100"/>
      </w:pPr>
      <w:r>
        <w:rPr>
          <w:rFonts w:ascii="Courier New" w:cs="Courier New" w:eastAsia="Courier New" w:hAnsi="Courier New"/>
          <w:color w:val="2E2E2E"/>
          <w:sz w:val="18"/>
          <w:szCs w:val="18"/>
        </w:rPr>
        <w:t xml:space="preserve">} catch { /* use trade price */ }</w:t>
      </w:r>
    </w:p>
    <w:p>
      <w:pPr>
        <w:spacing w:after="60" w:before="60"/>
      </w:pPr>
      <w:r>
        <w:rPr>
          <w:rFonts w:ascii="Arial" w:cs="Arial" w:eastAsia="Arial" w:hAnsi="Arial"/>
          <w:sz w:val="20"/>
          <w:szCs w:val="20"/>
        </w:rPr>
        <w:t xml:space="preserve">This ensures the bot can always enter positions even during API degradation, using the next-best price source.</w:t>
      </w:r>
    </w:p>
    <w:p>
      <w:pPr>
        <w:pStyle w:val="Heading2"/>
        <w:spacing w:after="120" w:before="360"/>
      </w:pPr>
      <w:r>
        <w:rPr>
          <w:rFonts w:ascii="Arial" w:cs="Arial" w:eastAsia="Arial" w:hAnsi="Arial"/>
          <w:b/>
          <w:bCs/>
          <w:color w:val="1B2A4A"/>
          <w:sz w:val="26"/>
          <w:szCs w:val="26"/>
        </w:rPr>
        <w:t xml:space="preserve">8. Migration Idempotency</w:t>
      </w:r>
    </w:p>
    <w:p>
      <w:pPr>
        <w:spacing w:after="60" w:before="60"/>
      </w:pPr>
      <w:r>
        <w:rPr>
          <w:rFonts w:ascii="Arial" w:cs="Arial" w:eastAsia="Arial" w:hAnsi="Arial"/>
          <w:b/>
          <w:bCs/>
          <w:sz w:val="20"/>
          <w:szCs w:val="20"/>
        </w:rPr>
        <w:t xml:space="preserve">Problem: </w:t>
      </w:r>
      <w:r>
        <w:rPr>
          <w:rFonts w:ascii="Arial" w:cs="Arial" w:eastAsia="Arial" w:hAnsi="Arial"/>
          <w:sz w:val="20"/>
          <w:szCs w:val="20"/>
        </w:rPr>
        <w:t xml:space="preserve">Re-running database migrations (intentionally or accidentally) could corrupt the schema or cause duplicate data.</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Multi-layer idempotency across all DDL and DML operations.</w:t>
      </w:r>
    </w:p>
    <w:p>
      <w:pPr>
        <w:pStyle w:val="ListParagraph"/>
        <w:numPr>
          <w:ilvl w:val="0"/>
          <w:numId w:val="2"/>
        </w:numPr>
      </w:pPr>
      <w:r>
        <w:rPr>
          <w:rFonts w:ascii="Arial" w:cs="Arial" w:eastAsia="Arial" w:hAnsi="Arial"/>
          <w:sz w:val="20"/>
          <w:szCs w:val="20"/>
        </w:rPr>
        <w:t xml:space="preserve">All CREATE TABLE/INDEX statements use IF NOT EXISTS</w:t>
      </w:r>
    </w:p>
    <w:p>
      <w:pPr>
        <w:pStyle w:val="ListParagraph"/>
        <w:numPr>
          <w:ilvl w:val="0"/>
          <w:numId w:val="2"/>
        </w:numPr>
      </w:pPr>
      <w:r>
        <w:rPr>
          <w:rFonts w:ascii="Arial" w:cs="Arial" w:eastAsia="Arial" w:hAnsi="Arial"/>
          <w:sz w:val="20"/>
          <w:szCs w:val="20"/>
        </w:rPr>
        <w:t xml:space="preserve">Applied migrations tracked in _migrations table (never re-applied)</w:t>
      </w:r>
    </w:p>
    <w:p>
      <w:pPr>
        <w:pStyle w:val="ListParagraph"/>
        <w:numPr>
          <w:ilvl w:val="0"/>
          <w:numId w:val="2"/>
        </w:numPr>
      </w:pPr>
      <w:r>
        <w:rPr>
          <w:rFonts w:ascii="Arial" w:cs="Arial" w:eastAsia="Arial" w:hAnsi="Arial"/>
          <w:sz w:val="20"/>
          <w:szCs w:val="20"/>
        </w:rPr>
        <w:t xml:space="preserve">Seed data uses ON CONFLICT DO NOTHING</w:t>
      </w:r>
    </w:p>
    <w:p>
      <w:pPr>
        <w:spacing w:after="60" w:before="60"/>
      </w:pPr>
      <w:r>
        <w:rPr>
          <w:rFonts w:ascii="Arial" w:cs="Arial" w:eastAsia="Arial" w:hAnsi="Arial"/>
          <w:sz w:val="20"/>
          <w:szCs w:val="20"/>
        </w:rPr>
        <w:t xml:space="preserve">Migrations can be safely run multiple times across environments without side effects.</w:t>
      </w:r>
    </w:p>
    <w:p>
      <w:pPr>
        <w:pStyle w:val="Heading2"/>
        <w:spacing w:after="120" w:before="360"/>
      </w:pPr>
      <w:r>
        <w:rPr>
          <w:rFonts w:ascii="Arial" w:cs="Arial" w:eastAsia="Arial" w:hAnsi="Arial"/>
          <w:b/>
          <w:bCs/>
          <w:color w:val="1B2A4A"/>
          <w:sz w:val="26"/>
          <w:szCs w:val="26"/>
        </w:rPr>
        <w:t xml:space="preserve">9. Data Import Resumability</w:t>
      </w:r>
    </w:p>
    <w:p>
      <w:pPr>
        <w:spacing w:after="60" w:before="60"/>
      </w:pPr>
      <w:r>
        <w:rPr>
          <w:rFonts w:ascii="Arial" w:cs="Arial" w:eastAsia="Arial" w:hAnsi="Arial"/>
          <w:b/>
          <w:bCs/>
          <w:sz w:val="20"/>
          <w:szCs w:val="20"/>
        </w:rPr>
        <w:t xml:space="preserve">Problem: </w:t>
      </w:r>
      <w:r>
        <w:rPr>
          <w:rFonts w:ascii="Arial" w:cs="Arial" w:eastAsia="Arial" w:hAnsi="Arial"/>
          <w:sz w:val="20"/>
          <w:szCs w:val="20"/>
        </w:rPr>
        <w:t xml:space="preserve">Importing 19M+ trade records takes significant time. A crash midway would require restarting the entire import from scratch.</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Each batch is independently committed, and all inserts use ON CONFLICT DO NOTHING.</w:t>
      </w:r>
    </w:p>
    <w:p>
      <w:pPr>
        <w:pStyle w:val="ListParagraph"/>
        <w:numPr>
          <w:ilvl w:val="0"/>
          <w:numId w:val="2"/>
        </w:numPr>
      </w:pPr>
      <w:r>
        <w:rPr>
          <w:rFonts w:ascii="Arial" w:cs="Arial" w:eastAsia="Arial" w:hAnsi="Arial"/>
          <w:sz w:val="20"/>
          <w:szCs w:val="20"/>
        </w:rPr>
        <w:t xml:space="preserve">Each 500-row batch is its own transaction</w:t>
      </w:r>
    </w:p>
    <w:p>
      <w:pPr>
        <w:pStyle w:val="ListParagraph"/>
        <w:numPr>
          <w:ilvl w:val="0"/>
          <w:numId w:val="2"/>
        </w:numPr>
      </w:pPr>
      <w:r>
        <w:rPr>
          <w:rFonts w:ascii="Arial" w:cs="Arial" w:eastAsia="Arial" w:hAnsi="Arial"/>
          <w:sz w:val="20"/>
          <w:szCs w:val="20"/>
        </w:rPr>
        <w:t xml:space="preserve">Completed batches persist even if the process crashes</w:t>
      </w:r>
    </w:p>
    <w:p>
      <w:pPr>
        <w:pStyle w:val="ListParagraph"/>
        <w:numPr>
          <w:ilvl w:val="0"/>
          <w:numId w:val="2"/>
        </w:numPr>
      </w:pPr>
      <w:r>
        <w:rPr>
          <w:rFonts w:ascii="Arial" w:cs="Arial" w:eastAsia="Arial" w:hAnsi="Arial"/>
          <w:sz w:val="20"/>
          <w:szCs w:val="20"/>
        </w:rPr>
        <w:t xml:space="preserve">Re-running the import skips all previously inserted rows automatically</w:t>
      </w:r>
    </w:p>
    <w:p>
      <w:pPr>
        <w:pStyle w:val="Heading2"/>
        <w:spacing w:after="120" w:before="360"/>
      </w:pPr>
      <w:r>
        <w:rPr>
          <w:rFonts w:ascii="Arial" w:cs="Arial" w:eastAsia="Arial" w:hAnsi="Arial"/>
          <w:b/>
          <w:bCs/>
          <w:color w:val="1B2A4A"/>
          <w:sz w:val="26"/>
          <w:szCs w:val="26"/>
        </w:rPr>
        <w:t xml:space="preserve">10. SQL Injection Prevention</w:t>
      </w:r>
    </w:p>
    <w:p>
      <w:pPr>
        <w:spacing w:after="60" w:before="60"/>
      </w:pPr>
      <w:r>
        <w:rPr>
          <w:rFonts w:ascii="Arial" w:cs="Arial" w:eastAsia="Arial" w:hAnsi="Arial"/>
          <w:b/>
          <w:bCs/>
          <w:sz w:val="20"/>
          <w:szCs w:val="20"/>
        </w:rPr>
        <w:t xml:space="preserve">Problem: </w:t>
      </w:r>
      <w:r>
        <w:rPr>
          <w:rFonts w:ascii="Arial" w:cs="Arial" w:eastAsia="Arial" w:hAnsi="Arial"/>
          <w:sz w:val="20"/>
          <w:szCs w:val="20"/>
        </w:rPr>
        <w:t xml:space="preserve">Dynamic queries with user input are vulnerable to SQL injection attacks.</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All database queries use parameterized placeholders ($1, $2, ...) throughout the entire codebase. No string interpolation is ever used in SQL statements.</w:t>
      </w:r>
    </w:p>
    <w:p>
      <w:pPr>
        <w:spacing w:after="100" w:before="100"/>
      </w:pPr>
      <w:r>
        <w:rPr>
          <w:rFonts w:ascii="Courier New" w:cs="Courier New" w:eastAsia="Courier New" w:hAnsi="Courier New"/>
          <w:color w:val="2E2E2E"/>
          <w:sz w:val="18"/>
          <w:szCs w:val="18"/>
        </w:rPr>
        <w:t xml:space="preserve">// Every query is parameterized</w:t>
      </w:r>
    </w:p>
    <w:p>
      <w:pPr>
        <w:spacing w:after="100" w:before="100"/>
      </w:pPr>
      <w:r>
        <w:rPr>
          <w:rFonts w:ascii="Courier New" w:cs="Courier New" w:eastAsia="Courier New" w:hAnsi="Courier New"/>
          <w:color w:val="2E2E2E"/>
          <w:sz w:val="18"/>
          <w:szCs w:val="18"/>
        </w:rPr>
        <w:t xml:space="preserve">await query('SELECT * FROM traders WHERE proxy_wallet = $1', [wallet]);</w:t>
      </w:r>
    </w:p>
    <w:p>
      <w:pPr>
        <w:spacing w:after="60" w:before="60"/>
      </w:pPr>
      <w:r>
        <w:rPr>
          <w:rFonts w:ascii="Arial" w:cs="Arial" w:eastAsia="Arial" w:hAnsi="Arial"/>
          <w:sz w:val="20"/>
          <w:szCs w:val="20"/>
        </w:rPr>
        <w:t xml:space="preserve">This is enforced across all modules: API layer, services, CLI tools, MCP server, and dashboard.</w:t>
      </w:r>
    </w:p>
    <w:p>
      <w:pPr>
        <w:pStyle w:val="Heading2"/>
        <w:spacing w:after="120" w:before="360"/>
      </w:pPr>
      <w:r>
        <w:rPr>
          <w:rFonts w:ascii="Arial" w:cs="Arial" w:eastAsia="Arial" w:hAnsi="Arial"/>
          <w:b/>
          <w:bCs/>
          <w:color w:val="1B2A4A"/>
          <w:sz w:val="26"/>
          <w:szCs w:val="26"/>
        </w:rPr>
        <w:t xml:space="preserve">11. Live Trading Kill Switch</w:t>
      </w:r>
    </w:p>
    <w:p>
      <w:pPr>
        <w:spacing w:after="60" w:before="60"/>
      </w:pPr>
      <w:r>
        <w:rPr>
          <w:rFonts w:ascii="Arial" w:cs="Arial" w:eastAsia="Arial" w:hAnsi="Arial"/>
          <w:b/>
          <w:bCs/>
          <w:sz w:val="20"/>
          <w:szCs w:val="20"/>
        </w:rPr>
        <w:t xml:space="preserve">Problem: </w:t>
      </w:r>
      <w:r>
        <w:rPr>
          <w:rFonts w:ascii="Arial" w:cs="Arial" w:eastAsia="Arial" w:hAnsi="Arial"/>
          <w:sz w:val="20"/>
          <w:szCs w:val="20"/>
        </w:rPr>
        <w:t xml:space="preserve">A runaway bot or market crash could cause the system to continue opening positions indefinitely with real funds.</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Emergency kill switch that immediately closes all open live positions at entry price (break-even).</w:t>
      </w:r>
    </w:p>
    <w:p>
      <w:pPr>
        <w:spacing w:after="100" w:before="100"/>
      </w:pPr>
      <w:r>
        <w:rPr>
          <w:rFonts w:ascii="Courier New" w:cs="Courier New" w:eastAsia="Courier New" w:hAnsi="Courier New"/>
          <w:color w:val="2E2E2E"/>
          <w:sz w:val="18"/>
          <w:szCs w:val="18"/>
        </w:rPr>
        <w:t xml:space="preserve">async killSwitch(): Promise&lt;void&gt; {</w:t>
      </w:r>
    </w:p>
    <w:p>
      <w:pPr>
        <w:spacing w:after="100" w:before="100"/>
      </w:pPr>
      <w:r>
        <w:rPr>
          <w:rFonts w:ascii="Courier New" w:cs="Courier New" w:eastAsia="Courier New" w:hAnsi="Courier New"/>
          <w:color w:val="2E2E2E"/>
          <w:sz w:val="18"/>
          <w:szCs w:val="18"/>
        </w:rPr>
        <w:t xml:space="preserve">  const positions = await this.getOpenPositions();</w:t>
      </w:r>
    </w:p>
    <w:p>
      <w:pPr>
        <w:spacing w:after="100" w:before="100"/>
      </w:pPr>
      <w:r>
        <w:rPr>
          <w:rFonts w:ascii="Courier New" w:cs="Courier New" w:eastAsia="Courier New" w:hAnsi="Courier New"/>
          <w:color w:val="2E2E2E"/>
          <w:sz w:val="18"/>
          <w:szCs w:val="18"/>
        </w:rPr>
        <w:t xml:space="preserve">  for (const pos of positions) {</w:t>
      </w:r>
    </w:p>
    <w:p>
      <w:pPr>
        <w:spacing w:after="100" w:before="100"/>
      </w:pPr>
      <w:r>
        <w:rPr>
          <w:rFonts w:ascii="Courier New" w:cs="Courier New" w:eastAsia="Courier New" w:hAnsi="Courier New"/>
          <w:color w:val="2E2E2E"/>
          <w:sz w:val="18"/>
          <w:szCs w:val="18"/>
        </w:rPr>
        <w:t xml:space="preserve">    await this.closePosition(pos.id, pos.entry_price, 'kill_switch');</w:t>
      </w:r>
    </w:p>
    <w:p>
      <w:pPr>
        <w:spacing w:after="100" w:before="100"/>
      </w:pPr>
      <w:r>
        <w:rPr>
          <w:rFonts w:ascii="Courier New" w:cs="Courier New" w:eastAsia="Courier New" w:hAnsi="Courier New"/>
          <w:color w:val="2E2E2E"/>
          <w:sz w:val="18"/>
          <w:szCs w:val="18"/>
        </w:rPr>
        <w:t xml:space="preserve">  }</w:t>
      </w:r>
    </w:p>
    <w:p>
      <w:pPr>
        <w:spacing w:after="100" w:before="100"/>
      </w:pPr>
      <w:r>
        <w:rPr>
          <w:rFonts w:ascii="Courier New" w:cs="Courier New" w:eastAsia="Courier New" w:hAnsi="Courier New"/>
          <w:color w:val="2E2E2E"/>
          <w:sz w:val="18"/>
          <w:szCs w:val="18"/>
        </w:rPr>
        <w:t xml:space="preserve">}</w:t>
      </w:r>
    </w:p>
    <w:p>
      <w:pPr>
        <w:spacing w:after="60" w:before="60"/>
      </w:pPr>
      <w:r>
        <w:rPr>
          <w:rFonts w:ascii="Arial" w:cs="Arial" w:eastAsia="Arial" w:hAnsi="Arial"/>
          <w:sz w:val="20"/>
          <w:szCs w:val="20"/>
        </w:rPr>
        <w:t xml:space="preserve">The kill switch is accessible via both the CLI and the MCP server (execute tier only, requires explicit user approval).</w:t>
      </w:r>
    </w:p>
    <w:p>
      <w:pPr>
        <w:pStyle w:val="Heading2"/>
        <w:spacing w:after="120" w:before="360"/>
      </w:pPr>
      <w:r>
        <w:rPr>
          <w:rFonts w:ascii="Arial" w:cs="Arial" w:eastAsia="Arial" w:hAnsi="Arial"/>
          <w:b/>
          <w:bCs/>
          <w:color w:val="1B2A4A"/>
          <w:sz w:val="26"/>
          <w:szCs w:val="26"/>
        </w:rPr>
        <w:t xml:space="preserve">12. MCP Tiered Access Control</w:t>
      </w:r>
    </w:p>
    <w:p>
      <w:pPr>
        <w:spacing w:after="60" w:before="60"/>
      </w:pPr>
      <w:r>
        <w:rPr>
          <w:rFonts w:ascii="Arial" w:cs="Arial" w:eastAsia="Arial" w:hAnsi="Arial"/>
          <w:b/>
          <w:bCs/>
          <w:sz w:val="20"/>
          <w:szCs w:val="20"/>
        </w:rPr>
        <w:t xml:space="preserve">Problem: </w:t>
      </w:r>
      <w:r>
        <w:rPr>
          <w:rFonts w:ascii="Arial" w:cs="Arial" w:eastAsia="Arial" w:hAnsi="Arial"/>
          <w:sz w:val="20"/>
          <w:szCs w:val="20"/>
        </w:rPr>
        <w:t xml:space="preserve">External AI agents (e.g., OpenClaw) connecting via MCP could inadvertently execute dangerous operations like starting live trading or modifying risk parameters.</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Three-tier permission system enforced at the server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 Tools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reports, metrics, positions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get_status, get_leaderboard, get_positions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Add/remove targets, run backtests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add_target, remove_target, run_backtest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Start/stop trading, kill switch</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start_trading, kill_switch (requires approval)</w:t>
            </w:r>
          </w:p>
        </w:tc>
      </w:tr>
    </w:tbl>
    <w:p>
      <w:pPr>
        <w:spacing w:after="100" w:before="100"/>
      </w:pPr>
      <w:r>
        <w:rPr>
          <w:rFonts w:ascii="Courier New" w:cs="Courier New" w:eastAsia="Courier New" w:hAnsi="Courier New"/>
          <w:color w:val="2E2E2E"/>
          <w:sz w:val="18"/>
          <w:szCs w:val="18"/>
        </w:rPr>
        <w:t xml:space="preserve">const TIER_LEVELS = { read: 1, write: 2, execute: 3 };</w:t>
      </w:r>
    </w:p>
    <w:p>
      <w:pPr>
        <w:spacing w:after="100" w:before="100"/>
      </w:pPr>
      <w:r>
        <w:rPr>
          <w:rFonts w:ascii="Courier New" w:cs="Courier New" w:eastAsia="Courier New" w:hAnsi="Courier New"/>
          <w:color w:val="2E2E2E"/>
          <w:sz w:val="18"/>
          <w:szCs w:val="18"/>
        </w:rPr>
        <w:t xml:space="preserve">function hasAccess(required) {</w:t>
      </w:r>
    </w:p>
    <w:p>
      <w:pPr>
        <w:spacing w:after="100" w:before="100"/>
      </w:pPr>
      <w:r>
        <w:rPr>
          <w:rFonts w:ascii="Courier New" w:cs="Courier New" w:eastAsia="Courier New" w:hAnsi="Courier New"/>
          <w:color w:val="2E2E2E"/>
          <w:sz w:val="18"/>
          <w:szCs w:val="18"/>
        </w:rPr>
        <w:t xml:space="preserve">  return TIER_LEVELS[ACCESS_TIER] &gt;= TIER_LEVELS[required];</w:t>
      </w:r>
    </w:p>
    <w:p>
      <w:pPr>
        <w:spacing w:after="100" w:before="100"/>
      </w:pPr>
      <w:r>
        <w:rPr>
          <w:rFonts w:ascii="Courier New" w:cs="Courier New" w:eastAsia="Courier New" w:hAnsi="Courier New"/>
          <w:color w:val="2E2E2E"/>
          <w:sz w:val="18"/>
          <w:szCs w:val="18"/>
        </w:rPr>
        <w:t xml:space="preserve">}</w:t>
      </w:r>
    </w:p>
    <w:p>
      <w:pPr>
        <w:spacing w:after="60" w:before="60"/>
      </w:pPr>
      <w:r>
        <w:rPr>
          <w:rFonts w:ascii="Arial" w:cs="Arial" w:eastAsia="Arial" w:hAnsi="Arial"/>
          <w:sz w:val="20"/>
          <w:szCs w:val="20"/>
        </w:rPr>
        <w:t xml:space="preserve">Default tier is read-only. Execute-tier tools return a confirmation prompt that must be relayed to the human operator before action is taken.</w:t>
      </w:r>
    </w:p>
    <w:p>
      <w:r>
        <w:br w:type="page"/>
      </w:r>
    </w:p>
    <w:p>
      <w:pPr>
        <w:pStyle w:val="Heading2"/>
        <w:spacing w:after="120" w:before="360"/>
      </w:pPr>
      <w:r>
        <w:rPr>
          <w:rFonts w:ascii="Arial" w:cs="Arial" w:eastAsia="Arial" w:hAnsi="Arial"/>
          <w:b/>
          <w:bCs/>
          <w:color w:val="1B2A4A"/>
          <w:sz w:val="26"/>
          <w:szCs w:val="26"/>
        </w:rPr>
        <w:t xml:space="preserve">13. Monorepo Architecture (89% Code Deduplication)</w:t>
      </w:r>
    </w:p>
    <w:p>
      <w:pPr>
        <w:spacing w:after="60" w:before="60"/>
      </w:pPr>
      <w:r>
        <w:rPr>
          <w:rFonts w:ascii="Arial" w:cs="Arial" w:eastAsia="Arial" w:hAnsi="Arial"/>
          <w:b/>
          <w:bCs/>
          <w:sz w:val="20"/>
          <w:szCs w:val="20"/>
        </w:rPr>
        <w:t xml:space="preserve">Problem: </w:t>
      </w:r>
      <w:r>
        <w:rPr>
          <w:rFonts w:ascii="Arial" w:cs="Arial" w:eastAsia="Arial" w:hAnsi="Arial"/>
          <w:sz w:val="20"/>
          <w:szCs w:val="20"/>
        </w:rPr>
        <w:t xml:space="preserve">The original OpenClaw implementation maintained two fully separate codebases (weather bot + sports bot) with 89% identical code. Bug fixes, scoring algorithm changes, and API updates had to be applied in both places, leading to drift and inconsistencies.</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Unified monorepo with shared core engine and thin category plugins.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Before (OpenClaw)</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After (Migration)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Codebases to maintain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separate repos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unified monorepo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Duplicated code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~8,500 lines (89%)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lines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Adding a new category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entire bot (~4,700 lines)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classifier file (~50 lines)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instances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separate Postgres DBs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unified DB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Cross-category trader analysis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possible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Built-in (shared traders table)</w:t>
            </w:r>
          </w:p>
        </w:tc>
      </w:tr>
    </w:tbl>
    <w:p>
      <w:pPr>
        <w:spacing w:after="60" w:before="60"/>
      </w:pPr>
      <w:r>
        <w:rPr>
          <w:rFonts w:ascii="Arial" w:cs="Arial" w:eastAsia="Arial" w:hAnsi="Arial"/>
          <w:sz w:val="20"/>
          <w:szCs w:val="20"/>
        </w:rPr>
        <w:t xml:space="preserve">Each category (weather, sports, crypto, politics) implements a single CategoryPlugin interface. The shared core handles all API integration, scoring, trading, and data management.</w:t>
      </w:r>
    </w:p>
    <w:p>
      <w:pPr>
        <w:pStyle w:val="Heading2"/>
        <w:spacing w:after="120" w:before="360"/>
      </w:pPr>
      <w:r>
        <w:rPr>
          <w:rFonts w:ascii="Arial" w:cs="Arial" w:eastAsia="Arial" w:hAnsi="Arial"/>
          <w:b/>
          <w:bCs/>
          <w:color w:val="1B2A4A"/>
          <w:sz w:val="26"/>
          <w:szCs w:val="26"/>
        </w:rPr>
        <w:t xml:space="preserve">14. Unified Database Schema</w:t>
      </w:r>
    </w:p>
    <w:p>
      <w:pPr>
        <w:spacing w:after="60" w:before="60"/>
      </w:pPr>
      <w:r>
        <w:rPr>
          <w:rFonts w:ascii="Arial" w:cs="Arial" w:eastAsia="Arial" w:hAnsi="Arial"/>
          <w:b/>
          <w:bCs/>
          <w:sz w:val="20"/>
          <w:szCs w:val="20"/>
        </w:rPr>
        <w:t xml:space="preserve">Problem: </w:t>
      </w:r>
      <w:r>
        <w:rPr>
          <w:rFonts w:ascii="Arial" w:cs="Arial" w:eastAsia="Arial" w:hAnsi="Arial"/>
          <w:sz w:val="20"/>
          <w:szCs w:val="20"/>
        </w:rPr>
        <w:t xml:space="preserve">The OpenClaw system used separate databases per category (polyweather on port 5433, polysports on port 5434). Traders active across categories could not be analyzed holistically, and deploying new categories required provisioning new database infrastructure.</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Single PostgreSQL database with a category column on the events table. All 14 tables are shared.</w:t>
      </w:r>
    </w:p>
    <w:p>
      <w:pPr>
        <w:pStyle w:val="ListParagraph"/>
        <w:numPr>
          <w:ilvl w:val="0"/>
          <w:numId w:val="2"/>
        </w:numPr>
      </w:pPr>
      <w:r>
        <w:rPr>
          <w:rFonts w:ascii="Arial" w:cs="Arial" w:eastAsia="Arial" w:hAnsi="Arial"/>
          <w:sz w:val="20"/>
          <w:szCs w:val="20"/>
        </w:rPr>
        <w:t xml:space="preserve">Traders who trade both weather and sports markets are automatically merged by proxy_wallet</w:t>
      </w:r>
    </w:p>
    <w:p>
      <w:pPr>
        <w:pStyle w:val="ListParagraph"/>
        <w:numPr>
          <w:ilvl w:val="0"/>
          <w:numId w:val="2"/>
        </w:numPr>
      </w:pPr>
      <w:r>
        <w:rPr>
          <w:rFonts w:ascii="Arial" w:cs="Arial" w:eastAsia="Arial" w:hAnsi="Arial"/>
          <w:sz w:val="20"/>
          <w:szCs w:val="20"/>
        </w:rPr>
        <w:t xml:space="preserve">Cross-category alpha scoring identifies traders with edge across multiple domains</w:t>
      </w:r>
    </w:p>
    <w:p>
      <w:pPr>
        <w:pStyle w:val="ListParagraph"/>
        <w:numPr>
          <w:ilvl w:val="0"/>
          <w:numId w:val="2"/>
        </w:numPr>
      </w:pPr>
      <w:r>
        <w:rPr>
          <w:rFonts w:ascii="Arial" w:cs="Arial" w:eastAsia="Arial" w:hAnsi="Arial"/>
          <w:sz w:val="20"/>
          <w:szCs w:val="20"/>
        </w:rPr>
        <w:t xml:space="preserve">New categories require zero database changes — just insert rows with the new category value</w:t>
      </w:r>
    </w:p>
    <w:p>
      <w:pPr>
        <w:pStyle w:val="ListParagraph"/>
        <w:numPr>
          <w:ilvl w:val="0"/>
          <w:numId w:val="2"/>
        </w:numPr>
      </w:pPr>
      <w:r>
        <w:rPr>
          <w:rFonts w:ascii="Arial" w:cs="Arial" w:eastAsia="Arial" w:hAnsi="Arial"/>
          <w:sz w:val="20"/>
          <w:szCs w:val="20"/>
        </w:rPr>
        <w:t xml:space="preserve">Single connection pool reduces operational overhead and connection management complexity</w:t>
      </w:r>
    </w:p>
    <w:p>
      <w:pPr>
        <w:pStyle w:val="Heading2"/>
        <w:spacing w:after="120" w:before="360"/>
      </w:pPr>
      <w:r>
        <w:rPr>
          <w:rFonts w:ascii="Arial" w:cs="Arial" w:eastAsia="Arial" w:hAnsi="Arial"/>
          <w:b/>
          <w:bCs/>
          <w:color w:val="1B2A4A"/>
          <w:sz w:val="26"/>
          <w:szCs w:val="26"/>
        </w:rPr>
        <w:t xml:space="preserve">15. LLM Token Cost Reduction (Admin Dashboard)</w:t>
      </w:r>
    </w:p>
    <w:p>
      <w:pPr>
        <w:spacing w:after="60" w:before="60"/>
      </w:pPr>
      <w:r>
        <w:rPr>
          <w:rFonts w:ascii="Arial" w:cs="Arial" w:eastAsia="Arial" w:hAnsi="Arial"/>
          <w:b/>
          <w:bCs/>
          <w:sz w:val="20"/>
          <w:szCs w:val="20"/>
        </w:rPr>
        <w:t xml:space="preserve">Problem: </w:t>
      </w:r>
      <w:r>
        <w:rPr>
          <w:rFonts w:ascii="Arial" w:cs="Arial" w:eastAsia="Arial" w:hAnsi="Arial"/>
          <w:sz w:val="20"/>
          <w:szCs w:val="20"/>
        </w:rPr>
        <w:t xml:space="preserve">With the OpenClaw system, every status check, performance review, and trading update required an LLM conversation. Each query consumed API tokens: a status report cost ~2,000-5,000 tokens per request, and daily monitoring across two bots consumed significant credits.</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Purpose-built Next.js admin dashboard that renders all metrics, positions, signals, and backtests in real-time without any LLM involvement.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Before (LLM cost)</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After (Dashboard)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trading status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 tokens per query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tokens (browser refresh)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leaderboard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 tokens per query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tokens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monitoring (2 bots)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~30,000-50,000 tokens/day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tokens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analysis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~4,000 tokens per query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tokens</w:t>
            </w:r>
          </w:p>
        </w:tc>
      </w:tr>
    </w:tbl>
    <w:p>
      <w:pPr>
        <w:spacing w:after="60" w:before="60"/>
      </w:pPr>
      <w:r>
        <w:rPr>
          <w:rFonts w:ascii="Arial" w:cs="Arial" w:eastAsia="Arial" w:hAnsi="Arial"/>
          <w:sz w:val="20"/>
          <w:szCs w:val="20"/>
        </w:rPr>
        <w:t xml:space="preserve">The dashboard includes 5 pages: Overview (equity, PnL, categories), Positions (open/closed), Traders (alpha leaderboard + copy targets), Signals (audit trail with skip reasons), and Backtests (historical simulation results).</w:t>
      </w:r>
    </w:p>
    <w:p>
      <w:pPr>
        <w:pStyle w:val="Heading2"/>
        <w:spacing w:after="120" w:before="360"/>
      </w:pPr>
      <w:r>
        <w:rPr>
          <w:rFonts w:ascii="Arial" w:cs="Arial" w:eastAsia="Arial" w:hAnsi="Arial"/>
          <w:b/>
          <w:bCs/>
          <w:color w:val="1B2A4A"/>
          <w:sz w:val="26"/>
          <w:szCs w:val="26"/>
        </w:rPr>
        <w:t xml:space="preserve">16. Controlled AI Integration via MCP Protocol</w:t>
      </w:r>
    </w:p>
    <w:p>
      <w:pPr>
        <w:spacing w:after="60" w:before="60"/>
      </w:pPr>
      <w:r>
        <w:rPr>
          <w:rFonts w:ascii="Arial" w:cs="Arial" w:eastAsia="Arial" w:hAnsi="Arial"/>
          <w:b/>
          <w:bCs/>
          <w:sz w:val="20"/>
          <w:szCs w:val="20"/>
        </w:rPr>
        <w:t xml:space="preserve">Problem: </w:t>
      </w:r>
      <w:r>
        <w:rPr>
          <w:rFonts w:ascii="Arial" w:cs="Arial" w:eastAsia="Arial" w:hAnsi="Arial"/>
          <w:sz w:val="20"/>
          <w:szCs w:val="20"/>
        </w:rPr>
        <w:t xml:space="preserve">The OpenClaw AI agent had unrestricted access to all system operations, including the ability to start trading, modify risk parameters, and execute destructive operations. Its inefficient context window usage also meant it could lose track of prior instructions mid-conversation.</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Model Context Protocol (MCP) server with tiered access control. The AI agent connects through a well-defined API with explicit permission boundaries.</w:t>
      </w:r>
    </w:p>
    <w:p>
      <w:pPr>
        <w:pStyle w:val="ListParagraph"/>
        <w:numPr>
          <w:ilvl w:val="0"/>
          <w:numId w:val="2"/>
        </w:numPr>
      </w:pPr>
      <w:r>
        <w:rPr>
          <w:rFonts w:ascii="Arial" w:cs="Arial" w:eastAsia="Arial" w:hAnsi="Arial"/>
          <w:sz w:val="20"/>
          <w:szCs w:val="20"/>
        </w:rPr>
        <w:t xml:space="preserve">Read tier (default): AI can only view reports and metrics — cannot modify anything</w:t>
      </w:r>
    </w:p>
    <w:p>
      <w:pPr>
        <w:pStyle w:val="ListParagraph"/>
        <w:numPr>
          <w:ilvl w:val="0"/>
          <w:numId w:val="2"/>
        </w:numPr>
      </w:pPr>
      <w:r>
        <w:rPr>
          <w:rFonts w:ascii="Arial" w:cs="Arial" w:eastAsia="Arial" w:hAnsi="Arial"/>
          <w:sz w:val="20"/>
          <w:szCs w:val="20"/>
        </w:rPr>
        <w:t xml:space="preserve">Write tier: AI can add copy targets and trigger backtests, but cannot start trading</w:t>
      </w:r>
    </w:p>
    <w:p>
      <w:pPr>
        <w:pStyle w:val="ListParagraph"/>
        <w:numPr>
          <w:ilvl w:val="0"/>
          <w:numId w:val="2"/>
        </w:numPr>
      </w:pPr>
      <w:r>
        <w:rPr>
          <w:rFonts w:ascii="Arial" w:cs="Arial" w:eastAsia="Arial" w:hAnsi="Arial"/>
          <w:sz w:val="20"/>
          <w:szCs w:val="20"/>
        </w:rPr>
        <w:t xml:space="preserve">Execute tier: AI can control trading operations, but critical actions (kill switch, start live) return confirmation prompts that require human approval</w:t>
      </w:r>
    </w:p>
    <w:p>
      <w:pPr>
        <w:pStyle w:val="ListParagraph"/>
        <w:numPr>
          <w:ilvl w:val="0"/>
          <w:numId w:val="2"/>
        </w:numPr>
      </w:pPr>
      <w:r>
        <w:rPr>
          <w:rFonts w:ascii="Arial" w:cs="Arial" w:eastAsia="Arial" w:hAnsi="Arial"/>
          <w:sz w:val="20"/>
          <w:szCs w:val="20"/>
        </w:rPr>
        <w:t xml:space="preserve">Each tool call is stateless and scoped — no risk of the AI losing context and taking unintended actions</w:t>
      </w:r>
    </w:p>
    <w:p>
      <w:pPr>
        <w:pStyle w:val="Heading2"/>
        <w:spacing w:after="120" w:before="360"/>
      </w:pPr>
      <w:r>
        <w:rPr>
          <w:rFonts w:ascii="Arial" w:cs="Arial" w:eastAsia="Arial" w:hAnsi="Arial"/>
          <w:b/>
          <w:bCs/>
          <w:color w:val="1B2A4A"/>
          <w:sz w:val="26"/>
          <w:szCs w:val="26"/>
        </w:rPr>
        <w:t xml:space="preserve">17. Backtesting Engine for Strategy Validation</w:t>
      </w:r>
    </w:p>
    <w:p>
      <w:pPr>
        <w:spacing w:after="60" w:before="60"/>
      </w:pPr>
      <w:r>
        <w:rPr>
          <w:rFonts w:ascii="Arial" w:cs="Arial" w:eastAsia="Arial" w:hAnsi="Arial"/>
          <w:b/>
          <w:bCs/>
          <w:sz w:val="20"/>
          <w:szCs w:val="20"/>
        </w:rPr>
        <w:t xml:space="preserve">Problem: </w:t>
      </w:r>
      <w:r>
        <w:rPr>
          <w:rFonts w:ascii="Arial" w:cs="Arial" w:eastAsia="Arial" w:hAnsi="Arial"/>
          <w:sz w:val="20"/>
          <w:szCs w:val="20"/>
        </w:rPr>
        <w:t xml:space="preserve">The OpenClaw system went directly from scoring to paper trading with no ability to simulate historical performance. Strategy changes could not be validated before deployment.</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Built-in backtesting engine that replays historical trades from the database, applying the same copy-trading logic and risk controls.</w:t>
      </w:r>
    </w:p>
    <w:p>
      <w:pPr>
        <w:pStyle w:val="ListParagraph"/>
        <w:numPr>
          <w:ilvl w:val="0"/>
          <w:numId w:val="2"/>
        </w:numPr>
      </w:pPr>
      <w:r>
        <w:rPr>
          <w:rFonts w:ascii="Arial" w:cs="Arial" w:eastAsia="Arial" w:hAnsi="Arial"/>
          <w:sz w:val="20"/>
          <w:szCs w:val="20"/>
        </w:rPr>
        <w:t xml:space="preserve">Configurable parameters: date range, category, initial balance, position size, alpha threshold</w:t>
      </w:r>
    </w:p>
    <w:p>
      <w:pPr>
        <w:pStyle w:val="ListParagraph"/>
        <w:numPr>
          <w:ilvl w:val="0"/>
          <w:numId w:val="2"/>
        </w:numPr>
      </w:pPr>
      <w:r>
        <w:rPr>
          <w:rFonts w:ascii="Arial" w:cs="Arial" w:eastAsia="Arial" w:hAnsi="Arial"/>
          <w:sz w:val="20"/>
          <w:szCs w:val="20"/>
        </w:rPr>
        <w:t xml:space="preserve">Output metrics: total return, Sharpe ratio, max drawdown, win rate, per-trader breakdown</w:t>
      </w:r>
    </w:p>
    <w:p>
      <w:pPr>
        <w:pStyle w:val="ListParagraph"/>
        <w:numPr>
          <w:ilvl w:val="0"/>
          <w:numId w:val="2"/>
        </w:numPr>
      </w:pPr>
      <w:r>
        <w:rPr>
          <w:rFonts w:ascii="Arial" w:cs="Arial" w:eastAsia="Arial" w:hAnsi="Arial"/>
          <w:sz w:val="20"/>
          <w:szCs w:val="20"/>
        </w:rPr>
        <w:t xml:space="preserve">Equity curve stored for dashboard visualization</w:t>
      </w:r>
    </w:p>
    <w:p>
      <w:pPr>
        <w:pStyle w:val="ListParagraph"/>
        <w:numPr>
          <w:ilvl w:val="0"/>
          <w:numId w:val="2"/>
        </w:numPr>
      </w:pPr>
      <w:r>
        <w:rPr>
          <w:rFonts w:ascii="Arial" w:cs="Arial" w:eastAsia="Arial" w:hAnsi="Arial"/>
          <w:sz w:val="20"/>
          <w:szCs w:val="20"/>
        </w:rPr>
        <w:t xml:space="preserve">All backtest runs persisted in backtest_runs table for historical comparison</w:t>
      </w:r>
    </w:p>
    <w:p>
      <w:pPr>
        <w:spacing w:after="60" w:before="60"/>
      </w:pPr>
      <w:r>
        <w:rPr>
          <w:rFonts w:ascii="Arial" w:cs="Arial" w:eastAsia="Arial" w:hAnsi="Arial"/>
          <w:sz w:val="20"/>
          <w:szCs w:val="20"/>
        </w:rPr>
        <w:t xml:space="preserve">This enables data-driven decisions about which traders to copy, what risk parameters to use, and whether strategy changes improve performance before committing real capital.</w:t>
      </w:r>
    </w:p>
    <w:p>
      <w:pPr>
        <w:pStyle w:val="Heading2"/>
        <w:spacing w:after="120" w:before="360"/>
      </w:pPr>
      <w:r>
        <w:rPr>
          <w:rFonts w:ascii="Arial" w:cs="Arial" w:eastAsia="Arial" w:hAnsi="Arial"/>
          <w:b/>
          <w:bCs/>
          <w:color w:val="1B2A4A"/>
          <w:sz w:val="26"/>
          <w:szCs w:val="26"/>
        </w:rPr>
        <w:t xml:space="preserve">18. Paper-to-Live Trading Architecture</w:t>
      </w:r>
    </w:p>
    <w:p>
      <w:pPr>
        <w:spacing w:after="60" w:before="60"/>
      </w:pPr>
      <w:r>
        <w:rPr>
          <w:rFonts w:ascii="Arial" w:cs="Arial" w:eastAsia="Arial" w:hAnsi="Arial"/>
          <w:b/>
          <w:bCs/>
          <w:sz w:val="20"/>
          <w:szCs w:val="20"/>
        </w:rPr>
        <w:t xml:space="preserve">Problem: </w:t>
      </w:r>
      <w:r>
        <w:rPr>
          <w:rFonts w:ascii="Arial" w:cs="Arial" w:eastAsia="Arial" w:hAnsi="Arial"/>
          <w:sz w:val="20"/>
          <w:szCs w:val="20"/>
        </w:rPr>
        <w:t xml:space="preserve">Moving from paper trading to live trading in the OpenClaw system would require rewriting the trading logic, with risk of accidentally using the wrong mode.</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Dual trading engines implementing the same interface, with separate database tables for paper and live positions.</w:t>
      </w:r>
    </w:p>
    <w:p>
      <w:pPr>
        <w:pStyle w:val="ListParagraph"/>
        <w:numPr>
          <w:ilvl w:val="0"/>
          <w:numId w:val="2"/>
        </w:numPr>
      </w:pPr>
      <w:r>
        <w:rPr>
          <w:rFonts w:ascii="Arial" w:cs="Arial" w:eastAsia="Arial" w:hAnsi="Arial"/>
          <w:sz w:val="20"/>
          <w:szCs w:val="20"/>
        </w:rPr>
        <w:t xml:space="preserve">paper_positions and live_positions are separate tables — impossible to accidentally mix</w:t>
      </w:r>
    </w:p>
    <w:p>
      <w:pPr>
        <w:pStyle w:val="ListParagraph"/>
        <w:numPr>
          <w:ilvl w:val="0"/>
          <w:numId w:val="2"/>
        </w:numPr>
      </w:pPr>
      <w:r>
        <w:rPr>
          <w:rFonts w:ascii="Arial" w:cs="Arial" w:eastAsia="Arial" w:hAnsi="Arial"/>
          <w:sz w:val="20"/>
          <w:szCs w:val="20"/>
        </w:rPr>
        <w:t xml:space="preserve">accounts table tracks paper and live balances independently</w:t>
      </w:r>
    </w:p>
    <w:p>
      <w:pPr>
        <w:pStyle w:val="ListParagraph"/>
        <w:numPr>
          <w:ilvl w:val="0"/>
          <w:numId w:val="2"/>
        </w:numPr>
      </w:pPr>
      <w:r>
        <w:rPr>
          <w:rFonts w:ascii="Arial" w:cs="Arial" w:eastAsia="Arial" w:hAnsi="Arial"/>
          <w:sz w:val="20"/>
          <w:szCs w:val="20"/>
        </w:rPr>
        <w:t xml:space="preserve">Same signal detection and filtering logic drives both modes — paper results are a reliable predictor of live performance</w:t>
      </w:r>
    </w:p>
    <w:p>
      <w:pPr>
        <w:pStyle w:val="ListParagraph"/>
        <w:numPr>
          <w:ilvl w:val="0"/>
          <w:numId w:val="2"/>
        </w:numPr>
      </w:pPr>
      <w:r>
        <w:rPr>
          <w:rFonts w:ascii="Arial" w:cs="Arial" w:eastAsia="Arial" w:hAnsi="Arial"/>
          <w:sz w:val="20"/>
          <w:szCs w:val="20"/>
        </w:rPr>
        <w:t xml:space="preserve">Live engine includes additional safeguards: wallet balance checks, on-chain transaction tracking, and kill switch</w:t>
      </w:r>
    </w:p>
    <w:p>
      <w:pPr>
        <w:pStyle w:val="Heading2"/>
        <w:spacing w:after="120" w:before="360"/>
      </w:pPr>
      <w:r>
        <w:rPr>
          <w:rFonts w:ascii="Arial" w:cs="Arial" w:eastAsia="Arial" w:hAnsi="Arial"/>
          <w:b/>
          <w:bCs/>
          <w:color w:val="1B2A4A"/>
          <w:sz w:val="26"/>
          <w:szCs w:val="26"/>
        </w:rPr>
        <w:t xml:space="preserve">19. Comprehensive Audit Trail</w:t>
      </w:r>
    </w:p>
    <w:p>
      <w:pPr>
        <w:spacing w:after="60" w:before="60"/>
      </w:pPr>
      <w:r>
        <w:rPr>
          <w:rFonts w:ascii="Arial" w:cs="Arial" w:eastAsia="Arial" w:hAnsi="Arial"/>
          <w:b/>
          <w:bCs/>
          <w:sz w:val="20"/>
          <w:szCs w:val="20"/>
        </w:rPr>
        <w:t xml:space="preserve">Problem: </w:t>
      </w:r>
      <w:r>
        <w:rPr>
          <w:rFonts w:ascii="Arial" w:cs="Arial" w:eastAsia="Arial" w:hAnsi="Arial"/>
          <w:sz w:val="20"/>
          <w:szCs w:val="20"/>
        </w:rPr>
        <w:t xml:space="preserve">The OpenClaw system had limited visibility into why certain signals were acted on or skipped, making it difficult to diagnose performance issues.</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Every signal, position, and scoring decision is logged with full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Records</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copy_signals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detected trader signal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acted_on, skip_reason, signal_type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paper_positions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opened/closed position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entry/exit price, PnL, close_reason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backtest_runs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simulation run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 equity_curve, per_trader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scan_progress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market scan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trades_fetched, traders_found</w:t>
            </w:r>
          </w:p>
        </w:tc>
      </w:tr>
    </w:tbl>
    <w:p>
      <w:pPr>
        <w:spacing w:after="60" w:before="60"/>
      </w:pPr>
      <w:r>
        <w:rPr>
          <w:rFonts w:ascii="Arial" w:cs="Arial" w:eastAsia="Arial" w:hAnsi="Arial"/>
          <w:sz w:val="20"/>
          <w:szCs w:val="20"/>
        </w:rPr>
        <w:t xml:space="preserve">This audit trail enables root cause analysis, strategy refinement, and regulatory compliance documentation.</w:t>
      </w:r>
    </w:p>
    <w:p>
      <w:pPr>
        <w:pStyle w:val="Heading2"/>
        <w:spacing w:after="120" w:before="360"/>
      </w:pPr>
      <w:r>
        <w:rPr>
          <w:rFonts w:ascii="Arial" w:cs="Arial" w:eastAsia="Arial" w:hAnsi="Arial"/>
          <w:b/>
          <w:bCs/>
          <w:color w:val="1B2A4A"/>
          <w:sz w:val="26"/>
          <w:szCs w:val="26"/>
        </w:rPr>
        <w:t xml:space="preserve">20. Scalable Category Plugin System</w:t>
      </w:r>
    </w:p>
    <w:p>
      <w:pPr>
        <w:spacing w:after="60" w:before="60"/>
      </w:pPr>
      <w:r>
        <w:rPr>
          <w:rFonts w:ascii="Arial" w:cs="Arial" w:eastAsia="Arial" w:hAnsi="Arial"/>
          <w:b/>
          <w:bCs/>
          <w:sz w:val="20"/>
          <w:szCs w:val="20"/>
        </w:rPr>
        <w:t xml:space="preserve">Problem: </w:t>
      </w:r>
      <w:r>
        <w:rPr>
          <w:rFonts w:ascii="Arial" w:cs="Arial" w:eastAsia="Arial" w:hAnsi="Arial"/>
          <w:sz w:val="20"/>
          <w:szCs w:val="20"/>
        </w:rPr>
        <w:t xml:space="preserve">Adding cryptocurrency, politics, or entertainment prediction markets to the OpenClaw system would require duplicating the entire codebase again, multiplying maintenance burden.</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Category plugin interface that allows new market domains to be added with minimal code.</w:t>
      </w:r>
    </w:p>
    <w:p>
      <w:pPr>
        <w:spacing w:after="100" w:before="100"/>
      </w:pPr>
      <w:r>
        <w:rPr>
          <w:rFonts w:ascii="Courier New" w:cs="Courier New" w:eastAsia="Courier New" w:hAnsi="Courier New"/>
          <w:color w:val="2E2E2E"/>
          <w:sz w:val="18"/>
          <w:szCs w:val="18"/>
        </w:rPr>
        <w:t xml:space="preserve">interface CategoryPlugin {</w:t>
      </w:r>
    </w:p>
    <w:p>
      <w:pPr>
        <w:spacing w:after="100" w:before="100"/>
      </w:pPr>
      <w:r>
        <w:rPr>
          <w:rFonts w:ascii="Courier New" w:cs="Courier New" w:eastAsia="Courier New" w:hAnsi="Courier New"/>
          <w:color w:val="2E2E2E"/>
          <w:sz w:val="18"/>
          <w:szCs w:val="18"/>
        </w:rPr>
        <w:t xml:space="preserve">  name: string;                    // 'weather', 'sports', 'crypto'</w:t>
      </w:r>
    </w:p>
    <w:p>
      <w:pPr>
        <w:spacing w:after="100" w:before="100"/>
      </w:pPr>
      <w:r>
        <w:rPr>
          <w:rFonts w:ascii="Courier New" w:cs="Courier New" w:eastAsia="Courier New" w:hAnsi="Courier New"/>
          <w:color w:val="2E2E2E"/>
          <w:sz w:val="18"/>
          <w:szCs w:val="18"/>
        </w:rPr>
        <w:t xml:space="preserve">  tags: string[];                  // Polymarket tags to match</w:t>
      </w:r>
    </w:p>
    <w:p>
      <w:pPr>
        <w:spacing w:after="100" w:before="100"/>
      </w:pPr>
      <w:r>
        <w:rPr>
          <w:rFonts w:ascii="Courier New" w:cs="Courier New" w:eastAsia="Courier New" w:hAnsi="Courier New"/>
          <w:color w:val="2E2E2E"/>
          <w:sz w:val="18"/>
          <w:szCs w:val="18"/>
        </w:rPr>
        <w:t xml:space="preserve">  keywords: Record&lt;string, string[]&gt;;</w:t>
      </w:r>
    </w:p>
    <w:p>
      <w:pPr>
        <w:spacing w:after="100" w:before="100"/>
      </w:pPr>
      <w:r>
        <w:rPr>
          <w:rFonts w:ascii="Courier New" w:cs="Courier New" w:eastAsia="Courier New" w:hAnsi="Courier New"/>
          <w:color w:val="2E2E2E"/>
          <w:sz w:val="18"/>
          <w:szCs w:val="18"/>
        </w:rPr>
        <w:t xml:space="preserve">  blacklist: string[];</w:t>
      </w:r>
    </w:p>
    <w:p>
      <w:pPr>
        <w:spacing w:after="100" w:before="100"/>
      </w:pPr>
      <w:r>
        <w:rPr>
          <w:rFonts w:ascii="Courier New" w:cs="Courier New" w:eastAsia="Courier New" w:hAnsi="Courier New"/>
          <w:color w:val="2E2E2E"/>
          <w:sz w:val="18"/>
          <w:szCs w:val="18"/>
        </w:rPr>
        <w:t xml:space="preserve">  classifyEvent(event): ClassifiedEvent | null;</w:t>
      </w:r>
    </w:p>
    <w:p>
      <w:pPr>
        <w:spacing w:after="100" w:before="100"/>
      </w:pPr>
      <w:r>
        <w:rPr>
          <w:rFonts w:ascii="Courier New" w:cs="Courier New" w:eastAsia="Courier New" w:hAnsi="Courier New"/>
          <w:color w:val="2E2E2E"/>
          <w:sz w:val="18"/>
          <w:szCs w:val="18"/>
        </w:rPr>
        <w:t xml:space="preserve">  isMatchingEvent(event): boolean;</w:t>
      </w:r>
    </w:p>
    <w:p>
      <w:pPr>
        <w:spacing w:after="100" w:before="100"/>
      </w:pPr>
      <w:r>
        <w:rPr>
          <w:rFonts w:ascii="Courier New" w:cs="Courier New" w:eastAsia="Courier New" w:hAnsi="Courier New"/>
          <w:color w:val="2E2E2E"/>
          <w:sz w:val="18"/>
          <w:szCs w:val="18"/>
        </w:rPr>
        <w:t xml:space="preserve">}</w:t>
      </w:r>
    </w:p>
    <w:p>
      <w:pPr>
        <w:spacing w:after="60" w:before="60"/>
      </w:pPr>
      <w:r>
        <w:rPr>
          <w:rFonts w:ascii="Arial" w:cs="Arial" w:eastAsia="Arial" w:hAnsi="Arial"/>
          <w:sz w:val="20"/>
          <w:szCs w:val="20"/>
        </w:rPr>
        <w:t xml:space="preserve">Adding a new category (e.g., cryptocurrency markets) requires: (1) a classifier file defining how to identify and categorize events, (2) a config file with tags/keywords, and (3) registering the plugin. All scoring, trading, backtesting, dashboard, and MCP functionality works automatically with the new category.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2026-04-13T04:53:23.000Z</dcterms:created>
  <dcterms:modified xsi:type="dcterms:W3CDTF">2026-04-13T04:53:23.001Z</dcterms:modified>
</cp:coreProperties>
</file>

<file path=docProps/custom.xml><?xml version="1.0" encoding="utf-8"?>
<Properties xmlns="http://schemas.openxmlformats.org/officeDocument/2006/custom-properties" xmlns:vt="http://schemas.openxmlformats.org/officeDocument/2006/docPropsVTypes"/>
</file>