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Federal do Estado do Rio de Janeiro – UNIRIO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Administração Pública – Projeto de Pesquisa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Nome: Lucas Souza Franco – Tarefa Objetivos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Tema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5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lanejamento urbano da região metropolitana do Rio de Janeiro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6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Principal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Analisar os planos diretores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 região metropolitana do Rio de Janeiro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intermediário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nuvens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palavras dos textos dos planos diretores.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 Secundários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se os 22 municípios cumprem o Estatuto das Cidades no quesito prazo de projetar e dar andamento ao plano diretor de 10 em 10 anos.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se há uma congruência ou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quesito planejamento da mobilidade urbana entre o Plano diretor do Município do Rio de Janeiro e os demais planos da região metropolitana.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047C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B3P29fLzxbzULjk5QOleh2pzGA==">AMUW2mVnuXSQQ4UAEkbat/DODpcuFlqkeJmkl9Oy0DwGLB+rF5m2KoA4+2Dzm4L/CFn3AMl2+X8X/4rXNEsGK5ltaVh+f33NH8g+dAU2uHw5AS/KLZls4Gw=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2021-07-11T15:23:00Z</dcterms:created>
  <dc:creator>Lucas Franco</dc:creator>
</cp:coreProperties>
</file>