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Projeto LAN WAN e Segurança</w:t>
      </w:r>
    </w:p>
    <w:p>
      <w:pPr>
        <w:pStyle w:val="Subtitle"/>
      </w:pPr>
      <w:r>
        <w:t>Pedro Ferreira | SENAC CISCO | Revisão de 13/10/2026</w:t>
      </w:r>
    </w:p>
    <w:p>
      <w:r>
        <w:t>O arquivo original foi atualizado e reaberto para validação. A rede cabeada passou nos testes entre filiais. HTTP, DNS, VLANs, port-security, WEP e SSH foram conferidos pela ponte MCP. O documento explica o que foi provado no laboratório e como a mesma estrutura pode crescer para os 390 clientes do enunciado.</w:t>
      </w:r>
    </w:p>
    <w:p>
      <w:pPr>
        <w:pStyle w:val="Heading1"/>
      </w:pPr>
      <w:r>
        <w:t>Aplicações, serviços e relação de segurança</w:t>
      </w:r>
    </w:p>
    <w:p>
      <w:r>
        <w:t>Os funcionários usam DHCP para receber endereço, gateway e DNS, DNS para resolver os três domínios, HTTP para acessar os portais das filiais e comunicação entre redes quando a política permite. A equipe de TI usa SSH para administrar os três roteadores. A VLAN GUEST_TERCEIROS foi criada para fornecedores, terceirizados e clientes. Ela ainda não tem equipamentos associados, então a regra de acesso externo está documentada como política de implantação: somente serviços publicados, sem acesso à administração ou às bases internas.</w:t>
      </w:r>
    </w:p>
    <w:p>
      <w:r>
        <w:t>A relação entre departamentos foi definida e testada. RH e Administração do Rio não acessam a rede 20.0.0.0/8 por causa da ACL 100. A Fábrica de Vitória acessa sua própria sub-rede, DNS e os três servidores WEB, mas não acessa a rede de TI. A VLAN de TI pode administrar a infraestrutura por SSH. Estoque, Vendas, Marketing e Diretoria ficam separados por VLAN e sub-rede.</w:t>
      </w:r>
    </w:p>
    <w:p>
      <w:r>
        <w:t>A pesquisa individual conclui que o Packet Tracer prova o funcionamento com amostras. A expansão para 390 clientes exige mais portas e equipamentos de acesso, mas preserva os blocos IP, os gateways, o DHCP e o OSPF já testados.</w:t>
      </w:r>
    </w:p>
    <w:p>
      <w:pPr>
        <w:pStyle w:val="Heading1"/>
      </w:pPr>
      <w:r>
        <w:t>Topologia e endereçamento</w:t>
      </w:r>
    </w:p>
    <w:p>
      <w:r>
        <w:t>A topologia contém 24 equipamentos: 3 roteadores 2911, 3 switches 2960-24TT, 4 servidores, 8 PCs, 3 APs e 3 laptops de teste. Os PCs representam os departamentos. Os 390 clientes previstos no enunciado são representados por amostras e por pools de endereçamento preparados para expansão.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DF1"/>
          </w:tcPr>
          <w:p>
            <w:pPr>
              <w:spacing w:after="60" w:before="60"/>
            </w:pPr>
            <w:r>
              <w:rPr>
                <w:sz w:val="19"/>
              </w:rPr>
              <w:t>Filial</w:t>
            </w:r>
          </w:p>
        </w:tc>
        <w:tc>
          <w:tcPr>
            <w:tcW w:type="dxa" w:w="2409"/>
            <w:shd w:fill="E8EDF1"/>
          </w:tcPr>
          <w:p>
            <w:pPr>
              <w:spacing w:after="60" w:before="60"/>
            </w:pPr>
            <w:r>
              <w:rPr>
                <w:sz w:val="19"/>
              </w:rPr>
              <w:t>LAN e gateway</w:t>
            </w:r>
          </w:p>
        </w:tc>
        <w:tc>
          <w:tcPr>
            <w:tcW w:type="dxa" w:w="2409"/>
            <w:shd w:fill="E8EDF1"/>
          </w:tcPr>
          <w:p>
            <w:pPr>
              <w:spacing w:after="60" w:before="60"/>
            </w:pPr>
            <w:r>
              <w:rPr>
                <w:sz w:val="19"/>
              </w:rPr>
              <w:t>Servidor web</w:t>
            </w:r>
          </w:p>
        </w:tc>
        <w:tc>
          <w:tcPr>
            <w:tcW w:type="dxa" w:w="2409"/>
            <w:shd w:fill="E8EDF1"/>
          </w:tcPr>
          <w:p>
            <w:pPr>
              <w:spacing w:after="60" w:before="60"/>
            </w:pPr>
            <w:r>
              <w:rPr>
                <w:sz w:val="19"/>
              </w:rPr>
              <w:t>VLAN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before="60"/>
            </w:pPr>
            <w:r>
              <w:rPr>
                <w:sz w:val="19"/>
              </w:rPr>
              <w:t>Rio</w:t>
            </w:r>
          </w:p>
        </w:tc>
        <w:tc>
          <w:tcPr>
            <w:tcW w:type="dxa" w:w="2409"/>
          </w:tcPr>
          <w:p>
            <w:pPr>
              <w:spacing w:after="60" w:before="60"/>
            </w:pPr>
            <w:r>
              <w:rPr>
                <w:sz w:val="19"/>
              </w:rPr>
              <w:t>10.0.0.0/8</w:t>
              <w:br/>
              <w:t>10.0.0.1</w:t>
            </w:r>
          </w:p>
        </w:tc>
        <w:tc>
          <w:tcPr>
            <w:tcW w:type="dxa" w:w="2409"/>
          </w:tcPr>
          <w:p>
            <w:pPr>
              <w:spacing w:after="60" w:before="60"/>
            </w:pPr>
            <w:r>
              <w:rPr>
                <w:sz w:val="19"/>
              </w:rPr>
              <w:t>10.0.0.10</w:t>
              <w:br/>
              <w:t>rio.com</w:t>
            </w:r>
          </w:p>
        </w:tc>
        <w:tc>
          <w:tcPr>
            <w:tcW w:type="dxa" w:w="2409"/>
          </w:tcPr>
          <w:p>
            <w:pPr>
              <w:spacing w:after="60" w:before="60"/>
            </w:pPr>
            <w:r>
              <w:rPr>
                <w:sz w:val="19"/>
              </w:rPr>
              <w:t>10 RH_ADMIN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before="60"/>
            </w:pPr>
            <w:r>
              <w:rPr>
                <w:sz w:val="19"/>
              </w:rPr>
              <w:t>São Paulo</w:t>
            </w:r>
          </w:p>
        </w:tc>
        <w:tc>
          <w:tcPr>
            <w:tcW w:type="dxa" w:w="2409"/>
          </w:tcPr>
          <w:p>
            <w:pPr>
              <w:spacing w:after="60" w:before="60"/>
            </w:pPr>
            <w:r>
              <w:rPr>
                <w:sz w:val="19"/>
              </w:rPr>
              <w:t>20.0.0.0/8</w:t>
              <w:br/>
              <w:t>20.0.0.1</w:t>
            </w:r>
          </w:p>
        </w:tc>
        <w:tc>
          <w:tcPr>
            <w:tcW w:type="dxa" w:w="2409"/>
          </w:tcPr>
          <w:p>
            <w:pPr>
              <w:spacing w:after="60" w:before="60"/>
            </w:pPr>
            <w:r>
              <w:rPr>
                <w:sz w:val="19"/>
              </w:rPr>
              <w:t>20.0.0.10</w:t>
              <w:br/>
              <w:t>sao.com</w:t>
            </w:r>
          </w:p>
        </w:tc>
        <w:tc>
          <w:tcPr>
            <w:tcW w:type="dxa" w:w="2409"/>
          </w:tcPr>
          <w:p>
            <w:pPr>
              <w:spacing w:after="60" w:before="60"/>
            </w:pPr>
            <w:r>
              <w:rPr>
                <w:sz w:val="19"/>
              </w:rPr>
              <w:t>20 ESTOQUE_VENDAS_MKT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before="60"/>
            </w:pPr>
            <w:r>
              <w:rPr>
                <w:sz w:val="19"/>
              </w:rPr>
              <w:t>Vitória</w:t>
            </w:r>
          </w:p>
        </w:tc>
        <w:tc>
          <w:tcPr>
            <w:tcW w:type="dxa" w:w="2409"/>
          </w:tcPr>
          <w:p>
            <w:pPr>
              <w:spacing w:after="60" w:before="60"/>
            </w:pPr>
            <w:r>
              <w:rPr>
                <w:sz w:val="19"/>
              </w:rPr>
              <w:t>30.0.0.0/8</w:t>
              <w:br/>
              <w:t>sub-redes /16</w:t>
            </w:r>
          </w:p>
        </w:tc>
        <w:tc>
          <w:tcPr>
            <w:tcW w:type="dxa" w:w="2409"/>
          </w:tcPr>
          <w:p>
            <w:pPr>
              <w:spacing w:after="60" w:before="60"/>
            </w:pPr>
            <w:r>
              <w:rPr>
                <w:sz w:val="19"/>
              </w:rPr>
              <w:t>30.0.0.10</w:t>
              <w:br/>
              <w:t>vitoria.com</w:t>
            </w:r>
          </w:p>
        </w:tc>
        <w:tc>
          <w:tcPr>
            <w:tcW w:type="dxa" w:w="2409"/>
          </w:tcPr>
          <w:p>
            <w:pPr>
              <w:spacing w:after="60" w:before="60"/>
            </w:pPr>
            <w:r>
              <w:rPr>
                <w:sz w:val="19"/>
              </w:rPr>
              <w:t>30 serviços</w:t>
              <w:br/>
              <w:t>31 Fábrica</w:t>
              <w:br/>
              <w:t>32 TI</w:t>
              <w:br/>
              <w:t>33 Diretoria</w:t>
            </w:r>
          </w:p>
        </w:tc>
      </w:tr>
    </w:tbl>
    <w:p>
      <w:r>
        <w:t>WAN serial: Rio–São Paulo usa 192.168.12.1/30 e 192.168.12.2/30. São Paulo–Vitória usa 192.168.23.1/30 e 192.168.23.2/30. OSPF área 0 anuncia as LANs. O DNS central fica em 30.0.0.11.</w:t>
      </w:r>
    </w:p>
    <w:p>
      <w:r>
        <w:t>Em Vitória, a VLAN 30 usa 30.0.0.0/16. As VLANs 31, 32 e 33 usam 30.31.0.0/16, 30.32.0.0/16 e 30.33.0.0/16. Os gateways são .1. Cada pool DHCP entrega gateway e DNS. Assim, a faixa 30.0.0.0/8 continua sendo o bloco da filial e as sub-redes evitam sobreposição.</w:t>
      </w:r>
    </w:p>
    <w:p>
      <w:pPr>
        <w:pStyle w:val="Heading1"/>
      </w:pPr>
      <w:r>
        <w:t>Configurações conferidas</w:t>
      </w:r>
    </w:p>
    <w:p>
      <w:r>
        <w:t>HTTP já estava ativo na porta 80 dos três servidores. O DNS estava desligado e sem registros. A revisão ativou o serviço e criou os registros A rio.com, sao.com e vitoria.com com os endereços da tabela.</w:t>
      </w:r>
    </w:p>
    <w:p>
      <w:r>
        <w:t>Os switches usam VLAN 10 no Rio, 20 em São Paulo e 30 em Vitória para os serviços comuns. Em Vitória, Fábrica está na VLAN 31, TI na VLAN 32 e Diretoria na VLAN 33. O enlace SW-VIT–RT-VIT opera em trunk 802.1Q. A VLAN 99 GUEST_TERCEIROS existe nos três switches, sem portas ou clientes associados.</w:t>
      </w:r>
    </w:p>
    <w:p>
      <w:r>
        <w:t>A ACL VIT-FABRICA-ONLY foi aplicada na entrada da subinterface 30.31.0.1. Ela permite a própria rede da Fábrica, DHCP, DNS central, HTTP para WEB-RIO, WEB-SAO e WEB-VIT e ICMP para esses servidores. O tráfego da Fábrica para a rede de TI foi bloqueado e contou quatro correspondências no teste.</w:t>
      </w:r>
    </w:p>
    <w:p>
      <w:r>
        <w:t>Port-security nas portas de PCs: SW-RIO Fa0/2–3, SW-SAO Fa0/2–4 e SW-VIT Fa0/3–5. Cada porta permite um MAC, aprende por sticky e usa restrict. Os oito MACs foram aprendidos, sem violações na leitura final.</w:t>
      </w:r>
    </w:p>
    <w:p>
      <w:r>
        <w:t>Os APs ACME-RIO, ACME-SAO e ACME-VIT usam WEP de 64 bits, com chave hexadecimal de 10 caracteres, como pede o exercício. Os três laptops foram associados pela interface Wireless e receberam DHCP: LAP-RIO 10.0.0.102, LAP-SAO 20.0.0.103 e LAP-VIT 30.0.0.101.</w:t>
      </w:r>
    </w:p>
    <w:p>
      <w:r>
        <w:t>SSH usa RSA de 2048 bits e versão 2 nos três roteadores. A ACL MGMT-SSH permite a sub-rede 30.32.0.0/16 da equipe de TI. O PC-TI abriu sessão SSH com sucesso. O PC-RH recebeu Connection refused by remote host. A conta temporária usada na prova foi removida depois do teste.</w:t>
      </w:r>
    </w:p>
    <w:p>
      <w:pPr>
        <w:pStyle w:val="Title"/>
      </w:pPr>
      <w:r>
        <w:t>Validação e limites da revisão</w:t>
      </w:r>
    </w:p>
    <w:p>
      <w:pPr>
        <w:pStyle w:val="Heading1"/>
      </w:pPr>
      <w:r>
        <w:t>Testes de conectividade</w:t>
      </w:r>
    </w:p>
    <w:p>
      <w:r>
        <w:t>A rodada final confirmou os gateways das três VLANs de Vitória e o acesso entre filiais. As primeiras tentativas após mudanças tiveram perdas durante a convergência. O teste PC-DIR → WEB-VIT registrou 3/4, compatível com a primeira resolução ARP. Os demais testes listados abaixo fecharam 4/4.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shd w:fill="E8EDF1"/>
          </w:tcPr>
          <w:p>
            <w:pPr>
              <w:spacing w:after="60" w:before="60"/>
            </w:pPr>
            <w:r>
              <w:rPr>
                <w:sz w:val="19"/>
              </w:rPr>
              <w:t>Origem</w:t>
            </w:r>
          </w:p>
        </w:tc>
        <w:tc>
          <w:tcPr>
            <w:tcW w:type="dxa" w:w="3213"/>
            <w:shd w:fill="E8EDF1"/>
          </w:tcPr>
          <w:p>
            <w:pPr>
              <w:spacing w:after="60" w:before="60"/>
            </w:pPr>
            <w:r>
              <w:rPr>
                <w:sz w:val="19"/>
              </w:rPr>
              <w:t>Destino</w:t>
            </w:r>
          </w:p>
        </w:tc>
        <w:tc>
          <w:tcPr>
            <w:tcW w:type="dxa" w:w="3213"/>
            <w:shd w:fill="E8EDF1"/>
          </w:tcPr>
          <w:p>
            <w:pPr>
              <w:spacing w:after="60" w:before="60"/>
            </w:pPr>
            <w:r>
              <w:rPr>
                <w:sz w:val="19"/>
              </w:rPr>
              <w:t>Respostas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before="60"/>
            </w:pPr>
            <w:r>
              <w:rPr>
                <w:sz w:val="19"/>
              </w:rPr>
              <w:t>PC-FAB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sz w:val="19"/>
              </w:rPr>
              <w:t>Gateway 30.31.0.1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sz w:val="19"/>
              </w:rPr>
              <w:t>4/4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before="60"/>
            </w:pPr>
            <w:r>
              <w:rPr>
                <w:sz w:val="19"/>
              </w:rPr>
              <w:t>PC-TI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sz w:val="19"/>
              </w:rPr>
              <w:t>Gateway 30.32.0.1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sz w:val="19"/>
              </w:rPr>
              <w:t>4/4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before="60"/>
            </w:pPr>
            <w:r>
              <w:rPr>
                <w:sz w:val="19"/>
              </w:rPr>
              <w:t>PC-DIR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sz w:val="19"/>
              </w:rPr>
              <w:t>Gateway 30.33.0.1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sz w:val="19"/>
              </w:rPr>
              <w:t>4/4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before="60"/>
            </w:pPr>
            <w:r>
              <w:rPr>
                <w:sz w:val="19"/>
              </w:rPr>
              <w:t>PC-TI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sz w:val="19"/>
              </w:rPr>
              <w:t>WEB-RIO 10.0.0.10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sz w:val="19"/>
              </w:rPr>
              <w:t>4/4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before="60"/>
            </w:pPr>
            <w:r>
              <w:rPr>
                <w:sz w:val="19"/>
              </w:rPr>
              <w:t>PC-TI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sz w:val="19"/>
              </w:rPr>
              <w:t>WEB-SAO 20.0.0.10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sz w:val="19"/>
              </w:rPr>
              <w:t>4/4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before="60"/>
            </w:pPr>
            <w:r>
              <w:rPr>
                <w:sz w:val="19"/>
              </w:rPr>
              <w:t>PC-DIR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sz w:val="19"/>
              </w:rPr>
              <w:t>WEB-VIT 30.0.0.10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sz w:val="19"/>
              </w:rPr>
              <w:t>3/4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before="60"/>
            </w:pPr>
            <w:r>
              <w:rPr>
                <w:sz w:val="19"/>
              </w:rPr>
              <w:t>PC-RH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sz w:val="19"/>
              </w:rPr>
              <w:t>WEB-SAO 20.0.0.10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sz w:val="19"/>
              </w:rPr>
              <w:t>bloqueado pela ACL 100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before="60"/>
            </w:pPr>
            <w:r>
              <w:rPr>
                <w:sz w:val="19"/>
              </w:rPr>
              <w:t>PC-TI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sz w:val="19"/>
              </w:rPr>
              <w:t>SSH RT-VIT 30.32.0.1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sz w:val="19"/>
              </w:rPr>
              <w:t>autenticado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before="60"/>
            </w:pPr>
            <w:r>
              <w:rPr>
                <w:sz w:val="19"/>
              </w:rPr>
              <w:t>PC-RH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sz w:val="19"/>
              </w:rPr>
              <w:t>SSH RT-VIT 30.32.0.1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sz w:val="19"/>
              </w:rPr>
              <w:t>recusado pela ACL</w:t>
            </w:r>
          </w:p>
        </w:tc>
      </w:tr>
    </w:tbl>
    <w:p>
      <w:r>
        <w:t>HTTP por nome foi conferido nos três domínios: sao.com, vitoria.com e rio.com. Os clientes receberam o conteúdo HTML padrão dos servidores. Os vizinhos OSPF alcançaram FULL nos dois enlaces.</w:t>
      </w:r>
    </w:p>
    <w:p>
      <w:pPr>
        <w:pStyle w:val="Heading1"/>
      </w:pPr>
      <w:r>
        <w:t>Persistência e preservação</w:t>
      </w:r>
    </w:p>
    <w:p>
      <w:r>
        <w:t>As configurações dos roteadores e switches foram salvas em startup-config. O arquivo original foi salvo e reaberto no Packet Tracer 9.0.1. DNS, HTTP, WEP, VLANs, port-security, SSH e as subinterfaces de Vitória permaneceram configurados.</w:t>
      </w:r>
    </w:p>
    <w:p>
      <w:r>
        <w:t>No modo Physical, os equipamentos foram distribuídos nas cidades criadas pelo aluno, com um building e um closet para cada filial. Rio de Janeiro, São Paulo e Vitória representam as localidades do enunciado. A ponte MCP não expõe a árvore Physical para leitura automática, mas o canvas ativo foi salvo depois da organização.</w:t>
      </w:r>
    </w:p>
    <w:p>
      <w:r>
        <w:t>Arquivo principal: PedroFerreira_2026-10-13_Projeto-LAN-WAN.pkt</w:t>
      </w:r>
    </w:p>
    <w:p>
      <w:r>
        <w:t>Tamanho: 264077 bytes. SHA-256:</w:t>
      </w:r>
    </w:p>
    <w:p>
      <w:r>
        <w:rPr>
          <w:sz w:val="16"/>
        </w:rPr>
        <w:t>caab3be565bee5c5bbc34ccb5aa0373f6a88e0dea2613f85d3d17aefc8e8e89c</w:t>
      </w:r>
    </w:p>
    <w:p>
      <w:pPr>
        <w:pStyle w:val="Heading1"/>
      </w:pPr>
      <w:r>
        <w:t>Como provar a escalabilidade</w:t>
      </w:r>
    </w:p>
    <w:p>
      <w:r>
        <w:t>A prova A é funcional: três VLANs departamentais em Vitória têm gateways próprios, DHCP preparado, trunk 802.1Q e comunicação testada. O PC-TI alcança Rio e São Paulo por OSPF. A prova B é de capacidade: o bloco 30.0.0.0/8 comporta as sub-redes /16 e os pools VIT-FABRICA, VIT-TI e VIT-DIRETORIA. Para chegar aos 390 clientes, basta distribuir 120 clientes de Fábrica, 135 de TI e 135 de Diretoria nos pools, ampliar portas de acesso e manter os mesmos gateways. O OSPF e os enlaces WAN não precisam ser redesenhados.</w:t>
      </w:r>
    </w:p>
    <w:p>
      <w:r>
        <w:t>A associação WEP foi confirmada na interface Wireless do Packet Tracer. Cada laptop aparece com Wireless0 ligado, associado ao SSID da filial e com endereço DHCP da rede 10/20/30.</w:t>
      </w:r>
    </w:p>
    <w:p>
      <w:r>
        <w:t>A ACL MGMT-SSH foi limitada à sub-rede 30.32.0.0/16 e teve acesso permitido e negado testados. A ACL 100 do guia permanece aplicada em RT-SAO. A ACL VIT-FABRICA-ONLY restringe a Fábrica aos sistemas próprios, DNS e WEB.</w:t>
      </w:r>
    </w:p>
    <w:p>
      <w:pPr>
        <w:pStyle w:val="Heading1"/>
      </w:pPr>
      <w:r>
        <w:t>Fontes</w:t>
      </w:r>
    </w:p>
    <w:p>
      <w:r>
        <w:t>Projeto de LAN-WAN.docx, Projeto de Rede e Segurança.docx, README e relatório anteriores. Evidências: leituras e testes da ponte MCP em 13/10/2026.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LAN WAN e Segurança</dc:title>
  <dc:subject>Revisão técnica de 13/10/2026</dc:subject>
  <dc:creator>Pedro Ferreira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