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Ameaças e atores em uma infraestrutura de rede TCP/IP</w:t>
      </w:r>
    </w:p>
    <w:p>
      <w:pPr>
        <w:pStyle w:val="Subtitle"/>
      </w:pPr>
      <w:r>
        <w:t>Pesquisa 1 — Atacando as fundações e o que cada ataque faz</w:t>
      </w:r>
    </w:p>
    <w:p>
      <w:pPr/>
      <w:r>
        <w:t>Pedro Ferreira | Cibersegurança — SENAC RJ / Cisco</w:t>
        <w:br/>
        <w:t>29 de setembro de 2026</w:t>
      </w:r>
    </w:p>
    <w:p>
      <w:pPr>
        <w:pStyle w:val="Heading1"/>
      </w:pPr>
      <w:r>
        <w:t>Introdução</w:t>
      </w:r>
    </w:p>
    <w:p>
      <w:r>
        <w:t>A pilha TCP/IP sustenta a comunicação entre estações, servidores, roteadores, switches e serviços de rede. Seu desenho prioriza interoperabilidade e entrega de dados entre redes heterogêneas. Muitos protocolos fundamentais foram definidos antes do cenário atual de ameaças e não incorporam, em sua forma básica, autenticação criptográfica, confidencialidade ou validação forte da identidade dos participantes. Por isso, a segurança prática depende de controles adicionais nas camadas de enlace, rede, transporte e aplicação. [1–6]</w:t>
      </w:r>
    </w:p>
    <w:p>
      <w:r>
        <w:t>Esta pesquisa usa como case a topologia Rede-alunos-aula.pkt, construída no Cisco Packet Tracer. A análise considera os equipamentos e endereços observados no exercício: roteadores Cisco 1841, switches Cisco 2960, servidores, estações, dispositivos móveis e um roteador wireless WRT300N. O objetivo é relacionar as falhas de design e de configuração da pilha TCP/IP aos principais tipos de ataque, aos possíveis atores de ameaça e às medidas de defesa aplicáveis ao ambiente.</w:t>
      </w:r>
    </w:p>
    <w:p>
      <w:pPr>
        <w:pStyle w:val="Heading1"/>
      </w:pPr>
      <w:r>
        <w:t>Caracterização da rede do case</w:t>
      </w:r>
    </w:p>
    <w:p>
      <w:r>
        <w:t>A rede apresenta múltiplos segmentos IPv4 interligados por roteadores. No lado esquerdo, um servidor usa 192.168.0.130/25 com gateway 192.168.0.129. Em outro segmento do mesmo roteador aparece 192.168.0.11/25, associado a um servidor 192.168.0.10/25. No núcleo da topologia há endereçamento 11.0.0.0/8, com o Router0 em 11.0.0.1/8, servidor em 11.0.0.100/8 e WRT300N em 11.0.0.150/24. O enlace serial entre roteadores utiliza 12.0.0.1/8 e 12.0.0.2/8. O Router1 apresenta 13.0.0.1/8 em uma interface FastEthernet.</w:t>
      </w:r>
    </w:p>
    <w:p>
      <w:r>
        <w:t>Os blocos 11.0.0.0/8, 12.0.0.0/8 e 13.0.0.0/8 não fazem parte dos intervalos IPv4 privados definidos pela RFC 1918. Os espaços privados reservados são 10.0.0.0/8, 172.16.0.0/12 e 192.168.0.0/16. Em um laboratório isolado o uso de outros blocos pode funcionar para fins didáticos, mas em uma rede conectada a outras infraestruturas cria risco de sobreposição com endereços públicos e de decisões de roteamento incorretas. [1]</w:t>
      </w:r>
    </w:p>
    <w:p>
      <w:r>
        <w:t>Também há uma inconsistência de máscara no domínio 11.0.0.0: o roteador usa /8 e o WRT300N aparece como /24. Dispositivos com máscaras diferentes podem discordar sobre quais destinos são locais e quais precisam ser enviados ao gateway. Nas telas fornecidas também aparecem dois servidores configurados como 11.0.0.100/8 em regiões distintas. Caso esses equipamentos compartilhem o mesmo domínio de camada 2, haverá conflito de endereço; se estiverem separados por roteamento, a duplicidade ainda dificulta administração e diagnóstico.</w:t>
      </w:r>
    </w:p>
    <w:p>
      <w:pPr>
        <w:pStyle w:val="Heading1"/>
      </w:pPr>
      <w:r>
        <w:t>Parte 1  Atacando as fundações</w:t>
      </w:r>
    </w:p>
    <w:p>
      <w:pPr>
        <w:pStyle w:val="Heading2"/>
      </w:pPr>
      <w:r>
        <w:t>1  Falhas de design e confiança implícita</w:t>
      </w:r>
    </w:p>
    <w:p>
      <w:r>
        <w:t>A segurança da pilha TCP/IP não pode ser avaliada apenas pelo protocolo IP. A comunicação depende de uma cadeia de mecanismos. Ethernet entrega quadros no enlace, ARP associa IPv4 a endereços MAC, IP encaminha pacotes entre redes, TCP e UDP transportam dados e serviços como DHCP e DNS automatizam a configuração e a resolução de nomes. Se um atacante consegue interferir em um desses pontos, pode alterar o caminho do tráfego sem explorar diretamente a aplicação final.</w:t>
      </w:r>
    </w:p>
    <w:p>
      <w:r>
        <w:t>ARP, DHCP e DNS são exemplos relevantes porque confiam em respostas recebidas da rede e, em suas formas tradicionais, não exigem autenticação criptográfica entre todas as partes. A MITRE ATT&amp;CK agrupa várias dessas técnicas na categoria Adversary-in-the-Middle, em que o adversário tenta se posicionar entre dispositivos para observar, redirecionar ou manipular a comunicação. [2, 7]</w:t>
      </w:r>
    </w:p>
    <w:p>
      <w:pPr>
        <w:pStyle w:val="Heading3"/>
      </w:pPr>
      <w:r>
        <w:t>1.1  ARP e ARP Cache Poisoning</w:t>
      </w:r>
    </w:p>
    <w:p>
      <w:r>
        <w:t>O Address Resolution Protocol foi definido para converter endereços de protocolo de rede, como IPv4, em endereços de hardware usados no enlace. Em uma LAN Ethernet, um host que não conhece o MAC correspondente a determinado IPv4 envia uma solicitação ARP e aprende a associação a partir da resposta. A especificação original não fornece autenticação criptográfica dessa associação. [2]</w:t>
      </w:r>
    </w:p>
    <w:p>
      <w:r>
        <w:t>No ARP Cache Poisoning, o atacante envia informações ARP falsas para associar seu próprio MAC ao endereço IP de outro equipamento, com frequência o gateway. Se a vítima aceitar a associação, o tráfego destinado ao roteador pode passar primeiro pelo atacante. Isso cria uma posição de Adversary-in-the-Middle e pode apoiar sniffing, manipulação ou redirecionamento de tráfego. A MITRE identifica essa técnica como T1557.002. [7]</w:t>
      </w:r>
    </w:p>
    <w:p>
      <w:r>
        <w:t>Na topologia estudada, o risco é maior dentro dos segmentos ligados aos switches 2960, porque os hosts do mesmo domínio de broadcast trocam ARP diretamente. A defesa indicada inclui Dynamic ARP Inspection, DHCP Snooping, Port Security, segmentação por VLAN e criptografia nas camadas superiores. A Cisco descreve o DAI como um mecanismo que intercepta requisições e respostas ARP em portas não confiáveis e descarta associações inválidas com base em uma base de vínculos IP-MAC. [8]</w:t>
      </w:r>
    </w:p>
    <w:p>
      <w:pPr>
        <w:pStyle w:val="Heading3"/>
      </w:pPr>
      <w:r>
        <w:t>1.2  Tabela MAC e MAC Flooding</w:t>
      </w:r>
    </w:p>
    <w:p>
      <w:r>
        <w:t>Switches Ethernet aprendem quais endereços MAC aparecem em cada porta e mantêm essas associações em uma tabela de encaminhamento. Um ataque de MAC Flooding tenta inserir grande quantidade de endereços falsos para pressionar essa tabela. O comportamento exato depende do modelo e da configuração, mas a finalidade é reduzir a previsibilidade do encaminhamento de camada 2 e ampliar a possibilidade de observação de tráfego.</w:t>
      </w:r>
    </w:p>
    <w:p>
      <w:r>
        <w:t>Port Security reduz essa superfície ao limitar quantos endereços MAC uma porta pode aprender e ao definir ações quando o limite é ultrapassado. Em uma rede de laboratório com PCs fixos, portas de acesso podem ser restringidas ao número esperado de dispositivos. Portas não utilizadas também devem permanecer administrativamente desativadas. A Cisco inclui Port Security entre os controles básicos de proteção de camada 2. [8]</w:t>
      </w:r>
    </w:p>
    <w:p>
      <w:pPr>
        <w:pStyle w:val="Heading3"/>
      </w:pPr>
      <w:r>
        <w:t>1.3  VLANs e falhas de segmentação</w:t>
      </w:r>
    </w:p>
    <w:p>
      <w:r>
        <w:t>As telas do Switch0 mostram portas FastEthernet0/10 a FastEthernet0/13 na VLAN 10, enquanto várias outras permanecem na VLAN 1. VLANs reduzem domínios de broadcast e separam logicamente grupos de equipamentos, mas não substituem uma política de segurança. Configurações indevidas de portas de acesso, trunks ou VLAN nativa podem enfraquecer o isolamento.</w:t>
      </w:r>
    </w:p>
    <w:p>
      <w:r>
        <w:t>Para o case, uma arquitetura mais controlada poderia separar usuários, servidores, wireless e gerenciamento em VLANs distintas. A comunicação entre essas redes deveria passar por roteamento com regras explícitas, como ACLs ou firewall. A segmentação limita movimento lateral e reduz o número de equipamentos diretamente alcançáveis após o comprometimento de uma estação.</w:t>
      </w:r>
    </w:p>
    <w:p>
      <w:pPr>
        <w:pStyle w:val="Heading3"/>
      </w:pPr>
      <w:r>
        <w:t>1.4  DHCP e servidor DHCP não autorizado</w:t>
      </w:r>
    </w:p>
    <w:p>
      <w:r>
        <w:t>O DHCP automatiza a entrega de endereço IP, máscara, gateway, DNS e outros parâmetros. A RFC 2131 define o modelo cliente-servidor e o processo de alocação de endereços. Em uma LAN sem controles adicionais, um equipamento malicioso pode responder a clientes como se fosse um servidor DHCP legítimo. [3]</w:t>
      </w:r>
    </w:p>
    <w:p>
      <w:r>
        <w:t>No DHCP Spoofing, o atacante fornece parâmetros controlados por ele, como gateway ou DNS. Se o cliente aceitar a oferta, o tráfego pode ser redirecionado para uma máquina adversária. A MITRE classifica a técnica como T1557.003. DHCP Snooping permite definir quais portas do switch podem originar respostas de servidor e cria uma base de vínculos usada por outros mecanismos, como Dynamic ARP Inspection. [9, 8]</w:t>
      </w:r>
    </w:p>
    <w:p>
      <w:pPr>
        <w:pStyle w:val="Heading3"/>
      </w:pPr>
      <w:r>
        <w:t>1.5  DNS e envenenamento de resolução de nomes</w:t>
      </w:r>
    </w:p>
    <w:p>
      <w:r>
        <w:t>O Domain Name System fornece uma estrutura distribuída para associar nomes a informações, incluindo endereços IP. As RFCs 1034 e 1035 descrevem os conceitos, servidores, consultas e formatos básicos do DNS. A resolução de nomes é crítica porque usuários e aplicações normalmente acessam serviços por nomes, não por endereços numéricos. [4]</w:t>
      </w:r>
    </w:p>
    <w:p>
      <w:r>
        <w:t>Se um adversário altera a configuração DNS de um host, falsifica respostas ou compromete um resolvedor, um nome legítimo pode apontar para um destino controlado. O efeito pode ser redirecionamento para páginas falsas, coleta de credenciais ou preparação para outros ataques. Controles possíveis incluem servidores DNS administrados, restrição de alterações, DNSSEC quando aplicável, monitoramento e uso de TLS nas aplicações.</w:t>
      </w:r>
    </w:p>
    <w:p>
      <w:pPr>
        <w:pStyle w:val="Heading3"/>
      </w:pPr>
      <w:r>
        <w:t>1.6  IPv4 e IP Spoofing</w:t>
      </w:r>
    </w:p>
    <w:p>
      <w:r>
        <w:t>O protocolo IP realiza endereçamento e encaminhamento entre redes. O campo de origem do pacote não representa, por si só, uma prova criptográfica da identidade do emissor. Em IP Spoofing, o atacante altera o endereço de origem apresentado. A técnica é especialmente útil em ataques baseados em tráfego sem estado, reflexão, evasão de filtros mal configurados ou ocultação parcial da origem.</w:t>
      </w:r>
    </w:p>
    <w:p>
      <w:r>
        <w:t>As defesas incluem filtragem de entrada e saída, ACLs coerentes, firewalls, validação de origem e segmentação. Em enlaces internos, regras anti-spoofing devem impedir que uma interface aceite pacotes com endereços que não deveriam surgir naquele segmento.</w:t>
      </w:r>
    </w:p>
    <w:p>
      <w:pPr>
        <w:pStyle w:val="Heading3"/>
      </w:pPr>
      <w:r>
        <w:t>1.7  ICMP e reconhecimento da rede</w:t>
      </w:r>
    </w:p>
    <w:p>
      <w:r>
        <w:t>ICMP fornece mensagens de controle e diagnóstico. Ferramentas como ping usam Echo Request e Echo Reply para verificar alcançabilidade. A mesma capacidade pode apoiar reconhecimento, permitindo mapear hosts ativos, rotas e padrões de resposta. ICMP também pode participar de ataques de negação de serviço quando usado em grande volume.</w:t>
      </w:r>
    </w:p>
    <w:p>
      <w:r>
        <w:t>Bloquear todo ICMP não é uma solução universal, porque o protocolo também apoia diagnóstico e funções legítimas da rede. A abordagem adequada combina filtragem seletiva, rate limiting e monitoramento de volumes fora do padrão.</w:t>
      </w:r>
    </w:p>
    <w:p>
      <w:pPr>
        <w:pStyle w:val="Heading3"/>
      </w:pPr>
      <w:r>
        <w:t>1.8  TCP, SYN Flood e reset de conexão</w:t>
      </w:r>
    </w:p>
    <w:p>
      <w:r>
        <w:t>O TCP é orientado a conexão e mantém estado. A RFC 9293 consolida a especificação atual do protocolo. O estabelecimento normal usa SYN, SYN/ACK e ACK. Durante esse processo o servidor reserva estruturas para conexões que ainda não foram completadas. [5]</w:t>
      </w:r>
    </w:p>
    <w:p>
      <w:r>
        <w:t>No SYN Flood, um atacante inicia grande número de conexões e evita completar o handshake. O consumo de filas, memória e capacidade de processamento pode reduzir a disponibilidade do serviço. A MITRE enquadra floods de rede em Network Denial of Service, incluindo tráfego TCP, UDP e ICMP. Defesas incluem SYN cookies, firewalls stateful, rate limiting, IPS e limites de conexões pendentes. [10]</w:t>
      </w:r>
    </w:p>
    <w:p>
      <w:r>
        <w:t>O TCP também possui o bit RST para reinicializar ou encerrar conexões em condições definidas pelo protocolo. Se um atacante consegue injetar um segmento de reset aceitável por uma das pontas, pode provocar interrupção da sessão. A proteção depende de validação correta dos segmentos, filtragem de tráfego, protocolos seguros e equipamentos que detectem comportamento anômalo. [5]</w:t>
      </w:r>
    </w:p>
    <w:p>
      <w:pPr>
        <w:pStyle w:val="Heading3"/>
      </w:pPr>
      <w:r>
        <w:t>1.9  UDP, reflexão e amplificação</w:t>
      </w:r>
    </w:p>
    <w:p>
      <w:r>
        <w:t>UDP não estabelece uma sessão equivalente ao handshake TCP. Essa simplicidade reduz overhead, mas facilita o envio de datagramas com origem falsificada quando a rede não aplica validação. Serviços UDP expostos podem ser usados como refletores: o atacante envia uma pequena requisição com o endereço da vítima como origem e o servidor responde para a vítima. Quando a resposta é maior que a consulta, ocorre amplificação.</w:t>
      </w:r>
    </w:p>
    <w:p>
      <w:r>
        <w:t>Ataques volumétricos por reflexão podem provocar indisponibilidade sem que a vítima tenha iniciado as comunicações. Filtragem de origem, redução de serviços expostos, rate limiting e proteção específica contra DDoS ajudam a reduzir o risco. [10]</w:t>
      </w:r>
    </w:p>
    <w:p>
      <w:pPr>
        <w:pStyle w:val="Heading3"/>
      </w:pPr>
      <w:r>
        <w:t>1.10  Wireless e Evil Twin</w:t>
      </w:r>
    </w:p>
    <w:p>
      <w:r>
        <w:t>A presença do WRT300N, smartphone e tablet amplia a superfície para o meio sem fio. Um atacante dentro da área de cobertura não precisa conectar fisicamente um cabo ao switch para tentar influenciar usuários. Em Evil Twin, o adversário cria um ponto de acesso com aparência semelhante à rede legítima, normalmente copiando o SSID. A MITRE classifica essa técnica como T1557.004. [11]</w:t>
      </w:r>
    </w:p>
    <w:p>
      <w:r>
        <w:t>As medidas de defesa incluem WPA2 ou WPA3, credenciais fortes, redes wireless separadas, autenticação individual em ambientes corporativos, WIDS/WIPS e monitoramento de pontos de acesso desconhecidos. Mesmo em uma conexão Wi-Fi legítima, HTTPS e outros protocolos criptografados continuam necessários para proteger os dados da aplicação.</w:t>
      </w:r>
    </w:p>
    <w:p>
      <w:pPr>
        <w:pStyle w:val="Heading1"/>
      </w:pPr>
      <w:r>
        <w:t>Parte 2  O que cada ataque faz</w:t>
      </w:r>
    </w:p>
    <w:p>
      <w:r>
        <w:t>A tabela abaixo resume o alvo principal, o comportamento e o impacto esperado. Um mesmo ataque pode atravessar mais de uma camada e produzir efeitos diferentes conforme a configuração do ambiente.</w:t>
      </w:r>
    </w:p>
    <w:tbl>
      <w:tblPr>
        <w:tblW w:type="auto" w:w="0"/>
        <w:jc w:val="center"/>
        <w:tblLook w:firstColumn="1" w:firstRow="1" w:lastColumn="0" w:lastRow="0" w:noHBand="0" w:noVBand="1" w:val="04A0"/>
      </w:tblPr>
      <w:tblGrid>
        <w:gridCol w:w="2484"/>
        <w:gridCol w:w="2484"/>
        <w:gridCol w:w="2484"/>
        <w:gridCol w:w="2484"/>
      </w:tblGrid>
      <w:tr>
        <w:tc>
          <w:tcPr>
            <w:tcW w:type="dxa" w:w="1800"/>
            <w:vAlign w:val="center"/>
          </w:tcPr>
          <w:p>
            <w:r>
              <w:rPr>
                <w:rFonts w:ascii="Calibri" w:hAnsi="Calibri"/>
                <w:b/>
                <w:sz w:val="19"/>
              </w:rPr>
              <w:t>Ataque</w:t>
            </w:r>
          </w:p>
        </w:tc>
        <w:tc>
          <w:tcPr>
            <w:tcW w:type="dxa" w:w="1944"/>
            <w:vAlign w:val="center"/>
          </w:tcPr>
          <w:p>
            <w:r>
              <w:rPr>
                <w:rFonts w:ascii="Calibri" w:hAnsi="Calibri"/>
                <w:b/>
                <w:sz w:val="19"/>
              </w:rPr>
              <w:t>Protocolo / camada</w:t>
            </w:r>
          </w:p>
        </w:tc>
        <w:tc>
          <w:tcPr>
            <w:tcW w:type="dxa" w:w="3960"/>
            <w:vAlign w:val="center"/>
          </w:tcPr>
          <w:p>
            <w:r>
              <w:rPr>
                <w:rFonts w:ascii="Calibri" w:hAnsi="Calibri"/>
                <w:b/>
                <w:sz w:val="19"/>
              </w:rPr>
              <w:t>O que faz</w:t>
            </w:r>
          </w:p>
        </w:tc>
        <w:tc>
          <w:tcPr>
            <w:tcW w:type="dxa" w:w="3384"/>
            <w:vAlign w:val="center"/>
          </w:tcPr>
          <w:p>
            <w:r>
              <w:rPr>
                <w:rFonts w:ascii="Calibri" w:hAnsi="Calibri"/>
                <w:b/>
                <w:sz w:val="19"/>
              </w:rPr>
              <w:t>Impacto principal</w:t>
            </w:r>
          </w:p>
        </w:tc>
      </w:tr>
      <w:tr>
        <w:tc>
          <w:tcPr>
            <w:tcW w:type="dxa" w:w="1800"/>
            <w:vAlign w:val="top"/>
          </w:tcPr>
          <w:p>
            <w:r>
              <w:rPr>
                <w:rFonts w:ascii="Calibri" w:hAnsi="Calibri"/>
                <w:sz w:val="19"/>
              </w:rPr>
              <w:t>ARP Cache Poisoning</w:t>
            </w:r>
          </w:p>
        </w:tc>
        <w:tc>
          <w:tcPr>
            <w:tcW w:type="dxa" w:w="1944"/>
            <w:vAlign w:val="top"/>
          </w:tcPr>
          <w:p>
            <w:r>
              <w:rPr>
                <w:rFonts w:ascii="Calibri" w:hAnsi="Calibri"/>
                <w:sz w:val="19"/>
              </w:rPr>
              <w:t>ARP / camada 2</w:t>
            </w:r>
          </w:p>
        </w:tc>
        <w:tc>
          <w:tcPr>
            <w:tcW w:type="dxa" w:w="3960"/>
            <w:vAlign w:val="top"/>
          </w:tcPr>
          <w:p>
            <w:r>
              <w:rPr>
                <w:rFonts w:ascii="Calibri" w:hAnsi="Calibri"/>
                <w:sz w:val="19"/>
              </w:rPr>
              <w:t>Insere associação IP-MAC falsa e tenta colocar o atacante no caminho do tráfego.</w:t>
            </w:r>
          </w:p>
        </w:tc>
        <w:tc>
          <w:tcPr>
            <w:tcW w:type="dxa" w:w="3384"/>
            <w:vAlign w:val="top"/>
          </w:tcPr>
          <w:p>
            <w:r>
              <w:rPr>
                <w:rFonts w:ascii="Calibri" w:hAnsi="Calibri"/>
                <w:sz w:val="19"/>
              </w:rPr>
              <w:t>Interceptação, manipulação e perda de confidencialidade.</w:t>
            </w:r>
          </w:p>
        </w:tc>
      </w:tr>
      <w:tr>
        <w:tc>
          <w:tcPr>
            <w:tcW w:type="dxa" w:w="1800"/>
            <w:vAlign w:val="top"/>
          </w:tcPr>
          <w:p>
            <w:r>
              <w:rPr>
                <w:rFonts w:ascii="Calibri" w:hAnsi="Calibri"/>
                <w:sz w:val="19"/>
              </w:rPr>
              <w:t>MAC Flooding</w:t>
            </w:r>
          </w:p>
        </w:tc>
        <w:tc>
          <w:tcPr>
            <w:tcW w:type="dxa" w:w="1944"/>
            <w:vAlign w:val="top"/>
          </w:tcPr>
          <w:p>
            <w:r>
              <w:rPr>
                <w:rFonts w:ascii="Calibri" w:hAnsi="Calibri"/>
                <w:sz w:val="19"/>
              </w:rPr>
              <w:t>Ethernet / switch</w:t>
            </w:r>
          </w:p>
        </w:tc>
        <w:tc>
          <w:tcPr>
            <w:tcW w:type="dxa" w:w="3960"/>
            <w:vAlign w:val="top"/>
          </w:tcPr>
          <w:p>
            <w:r>
              <w:rPr>
                <w:rFonts w:ascii="Calibri" w:hAnsi="Calibri"/>
                <w:sz w:val="19"/>
              </w:rPr>
              <w:t>Gera muitos endereços MAC para pressionar a tabela de encaminhamento.</w:t>
            </w:r>
          </w:p>
        </w:tc>
        <w:tc>
          <w:tcPr>
            <w:tcW w:type="dxa" w:w="3384"/>
            <w:vAlign w:val="top"/>
          </w:tcPr>
          <w:p>
            <w:r>
              <w:rPr>
                <w:rFonts w:ascii="Calibri" w:hAnsi="Calibri"/>
                <w:sz w:val="19"/>
              </w:rPr>
              <w:t>Degradação da camada 2 e possibilidade de exposição de tráfego.</w:t>
            </w:r>
          </w:p>
        </w:tc>
      </w:tr>
      <w:tr>
        <w:tc>
          <w:tcPr>
            <w:tcW w:type="dxa" w:w="1800"/>
            <w:vAlign w:val="top"/>
          </w:tcPr>
          <w:p>
            <w:r>
              <w:rPr>
                <w:rFonts w:ascii="Calibri" w:hAnsi="Calibri"/>
                <w:sz w:val="19"/>
              </w:rPr>
              <w:t>VLAN Hopping / erro de trunk</w:t>
            </w:r>
          </w:p>
        </w:tc>
        <w:tc>
          <w:tcPr>
            <w:tcW w:type="dxa" w:w="1944"/>
            <w:vAlign w:val="top"/>
          </w:tcPr>
          <w:p>
            <w:r>
              <w:rPr>
                <w:rFonts w:ascii="Calibri" w:hAnsi="Calibri"/>
                <w:sz w:val="19"/>
              </w:rPr>
              <w:t>802.1Q / camada 2</w:t>
            </w:r>
          </w:p>
        </w:tc>
        <w:tc>
          <w:tcPr>
            <w:tcW w:type="dxa" w:w="3960"/>
            <w:vAlign w:val="top"/>
          </w:tcPr>
          <w:p>
            <w:r>
              <w:rPr>
                <w:rFonts w:ascii="Calibri" w:hAnsi="Calibri"/>
                <w:sz w:val="19"/>
              </w:rPr>
              <w:t>Explora ou aproveita configuração inadequada de VLANs e trunks.</w:t>
            </w:r>
          </w:p>
        </w:tc>
        <w:tc>
          <w:tcPr>
            <w:tcW w:type="dxa" w:w="3384"/>
            <w:vAlign w:val="top"/>
          </w:tcPr>
          <w:p>
            <w:r>
              <w:rPr>
                <w:rFonts w:ascii="Calibri" w:hAnsi="Calibri"/>
                <w:sz w:val="19"/>
              </w:rPr>
              <w:t>Quebra de isolamento entre segmentos.</w:t>
            </w:r>
          </w:p>
        </w:tc>
      </w:tr>
      <w:tr>
        <w:tc>
          <w:tcPr>
            <w:tcW w:type="dxa" w:w="1800"/>
            <w:vAlign w:val="top"/>
          </w:tcPr>
          <w:p>
            <w:r>
              <w:rPr>
                <w:rFonts w:ascii="Calibri" w:hAnsi="Calibri"/>
                <w:sz w:val="19"/>
              </w:rPr>
              <w:t>DHCP Spoofing</w:t>
            </w:r>
          </w:p>
        </w:tc>
        <w:tc>
          <w:tcPr>
            <w:tcW w:type="dxa" w:w="1944"/>
            <w:vAlign w:val="top"/>
          </w:tcPr>
          <w:p>
            <w:r>
              <w:rPr>
                <w:rFonts w:ascii="Calibri" w:hAnsi="Calibri"/>
                <w:sz w:val="19"/>
              </w:rPr>
              <w:t>DHCP / aplicação sobre UDP</w:t>
            </w:r>
          </w:p>
        </w:tc>
        <w:tc>
          <w:tcPr>
            <w:tcW w:type="dxa" w:w="3960"/>
            <w:vAlign w:val="top"/>
          </w:tcPr>
          <w:p>
            <w:r>
              <w:rPr>
                <w:rFonts w:ascii="Calibri" w:hAnsi="Calibri"/>
                <w:sz w:val="19"/>
              </w:rPr>
              <w:t>Atua como servidor DHCP falso e entrega gateway ou DNS controlado.</w:t>
            </w:r>
          </w:p>
        </w:tc>
        <w:tc>
          <w:tcPr>
            <w:tcW w:type="dxa" w:w="3384"/>
            <w:vAlign w:val="top"/>
          </w:tcPr>
          <w:p>
            <w:r>
              <w:rPr>
                <w:rFonts w:ascii="Calibri" w:hAnsi="Calibri"/>
                <w:sz w:val="19"/>
              </w:rPr>
              <w:t>Redirecionamento e Adversary-in-the-Middle.</w:t>
            </w:r>
          </w:p>
        </w:tc>
      </w:tr>
      <w:tr>
        <w:tc>
          <w:tcPr>
            <w:tcW w:type="dxa" w:w="1800"/>
            <w:vAlign w:val="top"/>
          </w:tcPr>
          <w:p>
            <w:r>
              <w:rPr>
                <w:rFonts w:ascii="Calibri" w:hAnsi="Calibri"/>
                <w:sz w:val="19"/>
              </w:rPr>
              <w:t>DNS Poisoning / redirecionamento</w:t>
            </w:r>
          </w:p>
        </w:tc>
        <w:tc>
          <w:tcPr>
            <w:tcW w:type="dxa" w:w="1944"/>
            <w:vAlign w:val="top"/>
          </w:tcPr>
          <w:p>
            <w:r>
              <w:rPr>
                <w:rFonts w:ascii="Calibri" w:hAnsi="Calibri"/>
                <w:sz w:val="19"/>
              </w:rPr>
              <w:t>DNS / aplicação</w:t>
            </w:r>
          </w:p>
        </w:tc>
        <w:tc>
          <w:tcPr>
            <w:tcW w:type="dxa" w:w="3960"/>
            <w:vAlign w:val="top"/>
          </w:tcPr>
          <w:p>
            <w:r>
              <w:rPr>
                <w:rFonts w:ascii="Calibri" w:hAnsi="Calibri"/>
                <w:sz w:val="19"/>
              </w:rPr>
              <w:t>Altera a resolução de nomes ou a configuração do resolvedor.</w:t>
            </w:r>
          </w:p>
        </w:tc>
        <w:tc>
          <w:tcPr>
            <w:tcW w:type="dxa" w:w="3384"/>
            <w:vAlign w:val="top"/>
          </w:tcPr>
          <w:p>
            <w:r>
              <w:rPr>
                <w:rFonts w:ascii="Calibri" w:hAnsi="Calibri"/>
                <w:sz w:val="19"/>
              </w:rPr>
              <w:t>Acesso a destino falso, coleta de credenciais e fraude.</w:t>
            </w:r>
          </w:p>
        </w:tc>
      </w:tr>
      <w:tr>
        <w:tc>
          <w:tcPr>
            <w:tcW w:type="dxa" w:w="1800"/>
            <w:vAlign w:val="top"/>
          </w:tcPr>
          <w:p>
            <w:r>
              <w:rPr>
                <w:rFonts w:ascii="Calibri" w:hAnsi="Calibri"/>
                <w:sz w:val="19"/>
              </w:rPr>
              <w:t>IP Spoofing</w:t>
            </w:r>
          </w:p>
        </w:tc>
        <w:tc>
          <w:tcPr>
            <w:tcW w:type="dxa" w:w="1944"/>
            <w:vAlign w:val="top"/>
          </w:tcPr>
          <w:p>
            <w:r>
              <w:rPr>
                <w:rFonts w:ascii="Calibri" w:hAnsi="Calibri"/>
                <w:sz w:val="19"/>
              </w:rPr>
              <w:t>IPv4 / camada de Internet</w:t>
            </w:r>
          </w:p>
        </w:tc>
        <w:tc>
          <w:tcPr>
            <w:tcW w:type="dxa" w:w="3960"/>
            <w:vAlign w:val="top"/>
          </w:tcPr>
          <w:p>
            <w:r>
              <w:rPr>
                <w:rFonts w:ascii="Calibri" w:hAnsi="Calibri"/>
                <w:sz w:val="19"/>
              </w:rPr>
              <w:t>Falsifica o endereço de origem apresentado no pacote.</w:t>
            </w:r>
          </w:p>
        </w:tc>
        <w:tc>
          <w:tcPr>
            <w:tcW w:type="dxa" w:w="3384"/>
            <w:vAlign w:val="top"/>
          </w:tcPr>
          <w:p>
            <w:r>
              <w:rPr>
                <w:rFonts w:ascii="Calibri" w:hAnsi="Calibri"/>
                <w:sz w:val="19"/>
              </w:rPr>
              <w:t>Ocultação parcial, reflexão e evasão de filtros fracos.</w:t>
            </w:r>
          </w:p>
        </w:tc>
      </w:tr>
      <w:tr>
        <w:tc>
          <w:tcPr>
            <w:tcW w:type="dxa" w:w="1800"/>
            <w:vAlign w:val="top"/>
          </w:tcPr>
          <w:p>
            <w:r>
              <w:rPr>
                <w:rFonts w:ascii="Calibri" w:hAnsi="Calibri"/>
                <w:sz w:val="19"/>
              </w:rPr>
              <w:t>ICMP Flood / reconhecimento</w:t>
            </w:r>
          </w:p>
        </w:tc>
        <w:tc>
          <w:tcPr>
            <w:tcW w:type="dxa" w:w="1944"/>
            <w:vAlign w:val="top"/>
          </w:tcPr>
          <w:p>
            <w:r>
              <w:rPr>
                <w:rFonts w:ascii="Calibri" w:hAnsi="Calibri"/>
                <w:sz w:val="19"/>
              </w:rPr>
              <w:t>ICMP</w:t>
            </w:r>
          </w:p>
        </w:tc>
        <w:tc>
          <w:tcPr>
            <w:tcW w:type="dxa" w:w="3960"/>
            <w:vAlign w:val="top"/>
          </w:tcPr>
          <w:p>
            <w:r>
              <w:rPr>
                <w:rFonts w:ascii="Calibri" w:hAnsi="Calibri"/>
                <w:sz w:val="19"/>
              </w:rPr>
              <w:t>Usa mensagens de controle para mapear hosts ou gerar volume excessivo.</w:t>
            </w:r>
          </w:p>
        </w:tc>
        <w:tc>
          <w:tcPr>
            <w:tcW w:type="dxa" w:w="3384"/>
            <w:vAlign w:val="top"/>
          </w:tcPr>
          <w:p>
            <w:r>
              <w:rPr>
                <w:rFonts w:ascii="Calibri" w:hAnsi="Calibri"/>
                <w:sz w:val="19"/>
              </w:rPr>
              <w:t>Reconhecimento ou indisponibilidade.</w:t>
            </w:r>
          </w:p>
        </w:tc>
      </w:tr>
      <w:tr>
        <w:tc>
          <w:tcPr>
            <w:tcW w:type="dxa" w:w="1800"/>
            <w:vAlign w:val="top"/>
          </w:tcPr>
          <w:p>
            <w:r>
              <w:rPr>
                <w:rFonts w:ascii="Calibri" w:hAnsi="Calibri"/>
                <w:sz w:val="19"/>
              </w:rPr>
              <w:t>SYN Flood</w:t>
            </w:r>
          </w:p>
        </w:tc>
        <w:tc>
          <w:tcPr>
            <w:tcW w:type="dxa" w:w="1944"/>
            <w:vAlign w:val="top"/>
          </w:tcPr>
          <w:p>
            <w:r>
              <w:rPr>
                <w:rFonts w:ascii="Calibri" w:hAnsi="Calibri"/>
                <w:sz w:val="19"/>
              </w:rPr>
              <w:t>TCP / transporte</w:t>
            </w:r>
          </w:p>
        </w:tc>
        <w:tc>
          <w:tcPr>
            <w:tcW w:type="dxa" w:w="3960"/>
            <w:vAlign w:val="top"/>
          </w:tcPr>
          <w:p>
            <w:r>
              <w:rPr>
                <w:rFonts w:ascii="Calibri" w:hAnsi="Calibri"/>
                <w:sz w:val="19"/>
              </w:rPr>
              <w:t>Abre muitas conexões incompletas e consome recursos de estado.</w:t>
            </w:r>
          </w:p>
        </w:tc>
        <w:tc>
          <w:tcPr>
            <w:tcW w:type="dxa" w:w="3384"/>
            <w:vAlign w:val="top"/>
          </w:tcPr>
          <w:p>
            <w:r>
              <w:rPr>
                <w:rFonts w:ascii="Calibri" w:hAnsi="Calibri"/>
                <w:sz w:val="19"/>
              </w:rPr>
              <w:t>Negação de serviço.</w:t>
            </w:r>
          </w:p>
        </w:tc>
      </w:tr>
      <w:tr>
        <w:tc>
          <w:tcPr>
            <w:tcW w:type="dxa" w:w="1800"/>
            <w:vAlign w:val="top"/>
          </w:tcPr>
          <w:p>
            <w:r>
              <w:rPr>
                <w:rFonts w:ascii="Calibri" w:hAnsi="Calibri"/>
                <w:sz w:val="19"/>
              </w:rPr>
              <w:t>TCP RST</w:t>
            </w:r>
          </w:p>
        </w:tc>
        <w:tc>
          <w:tcPr>
            <w:tcW w:type="dxa" w:w="1944"/>
            <w:vAlign w:val="top"/>
          </w:tcPr>
          <w:p>
            <w:r>
              <w:rPr>
                <w:rFonts w:ascii="Calibri" w:hAnsi="Calibri"/>
                <w:sz w:val="19"/>
              </w:rPr>
              <w:t>TCP / transporte</w:t>
            </w:r>
          </w:p>
        </w:tc>
        <w:tc>
          <w:tcPr>
            <w:tcW w:type="dxa" w:w="3960"/>
            <w:vAlign w:val="top"/>
          </w:tcPr>
          <w:p>
            <w:r>
              <w:rPr>
                <w:rFonts w:ascii="Calibri" w:hAnsi="Calibri"/>
                <w:sz w:val="19"/>
              </w:rPr>
              <w:t>Tenta inserir um reset aceitável em uma conexão existente.</w:t>
            </w:r>
          </w:p>
        </w:tc>
        <w:tc>
          <w:tcPr>
            <w:tcW w:type="dxa" w:w="3384"/>
            <w:vAlign w:val="top"/>
          </w:tcPr>
          <w:p>
            <w:r>
              <w:rPr>
                <w:rFonts w:ascii="Calibri" w:hAnsi="Calibri"/>
                <w:sz w:val="19"/>
              </w:rPr>
              <w:t>Interrupção de sessão.</w:t>
            </w:r>
          </w:p>
        </w:tc>
      </w:tr>
      <w:tr>
        <w:tc>
          <w:tcPr>
            <w:tcW w:type="dxa" w:w="1800"/>
            <w:vAlign w:val="top"/>
          </w:tcPr>
          <w:p>
            <w:r>
              <w:rPr>
                <w:rFonts w:ascii="Calibri" w:hAnsi="Calibri"/>
                <w:sz w:val="19"/>
              </w:rPr>
              <w:t>UDP Flood / reflexão</w:t>
            </w:r>
          </w:p>
        </w:tc>
        <w:tc>
          <w:tcPr>
            <w:tcW w:type="dxa" w:w="1944"/>
            <w:vAlign w:val="top"/>
          </w:tcPr>
          <w:p>
            <w:r>
              <w:rPr>
                <w:rFonts w:ascii="Calibri" w:hAnsi="Calibri"/>
                <w:sz w:val="19"/>
              </w:rPr>
              <w:t>UDP / transporte</w:t>
            </w:r>
          </w:p>
        </w:tc>
        <w:tc>
          <w:tcPr>
            <w:tcW w:type="dxa" w:w="3960"/>
            <w:vAlign w:val="top"/>
          </w:tcPr>
          <w:p>
            <w:r>
              <w:rPr>
                <w:rFonts w:ascii="Calibri" w:hAnsi="Calibri"/>
                <w:sz w:val="19"/>
              </w:rPr>
              <w:t>Envia grande volume ou usa servidores como refletores.</w:t>
            </w:r>
          </w:p>
        </w:tc>
        <w:tc>
          <w:tcPr>
            <w:tcW w:type="dxa" w:w="3384"/>
            <w:vAlign w:val="top"/>
          </w:tcPr>
          <w:p>
            <w:r>
              <w:rPr>
                <w:rFonts w:ascii="Calibri" w:hAnsi="Calibri"/>
                <w:sz w:val="19"/>
              </w:rPr>
              <w:t>Negação de serviço e saturação de banda.</w:t>
            </w:r>
          </w:p>
        </w:tc>
      </w:tr>
      <w:tr>
        <w:tc>
          <w:tcPr>
            <w:tcW w:type="dxa" w:w="1800"/>
            <w:vAlign w:val="top"/>
          </w:tcPr>
          <w:p>
            <w:r>
              <w:rPr>
                <w:rFonts w:ascii="Calibri" w:hAnsi="Calibri"/>
                <w:sz w:val="19"/>
              </w:rPr>
              <w:t>Evil Twin</w:t>
            </w:r>
          </w:p>
        </w:tc>
        <w:tc>
          <w:tcPr>
            <w:tcW w:type="dxa" w:w="1944"/>
            <w:vAlign w:val="top"/>
          </w:tcPr>
          <w:p>
            <w:r>
              <w:rPr>
                <w:rFonts w:ascii="Calibri" w:hAnsi="Calibri"/>
                <w:sz w:val="19"/>
              </w:rPr>
              <w:t>Wi-Fi / camada 2</w:t>
            </w:r>
          </w:p>
        </w:tc>
        <w:tc>
          <w:tcPr>
            <w:tcW w:type="dxa" w:w="3960"/>
            <w:vAlign w:val="top"/>
          </w:tcPr>
          <w:p>
            <w:r>
              <w:rPr>
                <w:rFonts w:ascii="Calibri" w:hAnsi="Calibri"/>
                <w:sz w:val="19"/>
              </w:rPr>
              <w:t>Cria ponto de acesso falso com aparência de rede legítima.</w:t>
            </w:r>
          </w:p>
        </w:tc>
        <w:tc>
          <w:tcPr>
            <w:tcW w:type="dxa" w:w="3384"/>
            <w:vAlign w:val="top"/>
          </w:tcPr>
          <w:p>
            <w:r>
              <w:rPr>
                <w:rFonts w:ascii="Calibri" w:hAnsi="Calibri"/>
                <w:sz w:val="19"/>
              </w:rPr>
              <w:t>Interceptação, captura de dados e redirecionamento.</w:t>
            </w:r>
          </w:p>
        </w:tc>
      </w:tr>
      <w:tr>
        <w:tc>
          <w:tcPr>
            <w:tcW w:type="dxa" w:w="1800"/>
            <w:vAlign w:val="top"/>
          </w:tcPr>
          <w:p>
            <w:r>
              <w:rPr>
                <w:rFonts w:ascii="Calibri" w:hAnsi="Calibri"/>
                <w:sz w:val="19"/>
              </w:rPr>
              <w:t>Sniffing</w:t>
            </w:r>
          </w:p>
        </w:tc>
        <w:tc>
          <w:tcPr>
            <w:tcW w:type="dxa" w:w="1944"/>
            <w:vAlign w:val="top"/>
          </w:tcPr>
          <w:p>
            <w:r>
              <w:rPr>
                <w:rFonts w:ascii="Calibri" w:hAnsi="Calibri"/>
                <w:sz w:val="19"/>
              </w:rPr>
              <w:t>Ethernet / Wi-Fi</w:t>
            </w:r>
          </w:p>
        </w:tc>
        <w:tc>
          <w:tcPr>
            <w:tcW w:type="dxa" w:w="3960"/>
            <w:vAlign w:val="top"/>
          </w:tcPr>
          <w:p>
            <w:r>
              <w:rPr>
                <w:rFonts w:ascii="Calibri" w:hAnsi="Calibri"/>
                <w:sz w:val="19"/>
              </w:rPr>
              <w:t>Observa pacotes acessíveis ao atacante.</w:t>
            </w:r>
          </w:p>
        </w:tc>
        <w:tc>
          <w:tcPr>
            <w:tcW w:type="dxa" w:w="3384"/>
            <w:vAlign w:val="top"/>
          </w:tcPr>
          <w:p>
            <w:r>
              <w:rPr>
                <w:rFonts w:ascii="Calibri" w:hAnsi="Calibri"/>
                <w:sz w:val="19"/>
              </w:rPr>
              <w:t>Exposição de dados não criptografados.</w:t>
            </w:r>
          </w:p>
        </w:tc>
      </w:tr>
    </w:tbl>
    <w:p>
      <w:pPr>
        <w:pStyle w:val="Heading1"/>
      </w:pPr>
      <w:r>
        <w:t>Parte 3  Atores de ameaça e aplicação no case</w:t>
      </w:r>
    </w:p>
    <w:p>
      <w:pPr>
        <w:pStyle w:val="Heading2"/>
      </w:pPr>
      <w:r>
        <w:t>3  Atores de ameaça</w:t>
      </w:r>
    </w:p>
    <w:p>
      <w:pPr>
        <w:pStyle w:val="Heading3"/>
      </w:pPr>
      <w:r>
        <w:t>3.1  Atacante externo</w:t>
      </w:r>
    </w:p>
    <w:p>
      <w:r>
        <w:t>Um atacante externo começa fora dos segmentos internos e depende de algum serviço exposto, rota acessível, credencial válida ou dispositivo comprometido para alcançar a infraestrutura. Seu primeiro objetivo costuma ser reconhecimento: identificar endereços, portas, versões e serviços. Se conseguir acesso inicial, pode usar o host comprometido como pivô para alcançar redes internas.</w:t>
      </w:r>
    </w:p>
    <w:p>
      <w:pPr>
        <w:pStyle w:val="Heading3"/>
      </w:pPr>
      <w:r>
        <w:t>3.2  Usuário interno mal-intencionado</w:t>
      </w:r>
    </w:p>
    <w:p>
      <w:r>
        <w:t>O usuário interno já possui acesso físico ou lógico a um segmento confiável. Essa posição reduz várias barreiras. Em uma LAN compartilhada, ele pode tentar ARP spoofing, DHCP spoofing, coleta de tráfego, varredura e exploração de serviços. Controles de camada 2, autenticação de acesso à rede, segmentação e monitoramento são especialmente relevantes contra essa categoria.</w:t>
      </w:r>
    </w:p>
    <w:p>
      <w:pPr>
        <w:pStyle w:val="Heading3"/>
      </w:pPr>
      <w:r>
        <w:t>3.3  Máquina comprometida</w:t>
      </w:r>
    </w:p>
    <w:p>
      <w:r>
        <w:t>Nem todo equipamento atacante pertence a uma pessoa agindo conscientemente. Malware em uma estação legítima pode executar reconhecimento, manter persistência, capturar credenciais e gerar tráfego malicioso. Como o dispositivo já está dentro da rede, políticas baseadas apenas na ideia de perímetro confiável são insuficientes.</w:t>
      </w:r>
    </w:p>
    <w:p>
      <w:pPr>
        <w:pStyle w:val="Heading3"/>
      </w:pPr>
      <w:r>
        <w:t>3.4  Dispositivo não autorizado</w:t>
      </w:r>
    </w:p>
    <w:p>
      <w:r>
        <w:t>Notebooks, roteadores, pontos de acesso, switches pequenos e outros equipamentos inseridos sem autorização podem criar novos caminhos de comunicação. Portas livres nos switches 2960 representam um ponto de atenção. Desativação de portas ociosas, Port Security e controles de acesso ajudam a reduzir esse risco.</w:t>
      </w:r>
    </w:p>
    <w:p>
      <w:pPr>
        <w:pStyle w:val="Heading2"/>
      </w:pPr>
      <w:r>
        <w:t>4  Fragilidades observadas na topologia</w:t>
      </w:r>
    </w:p>
    <w:p>
      <w:pPr>
        <w:pStyle w:val="Heading3"/>
      </w:pPr>
      <w:r>
        <w:t>4.1  Endereçamento público usado internamente</w:t>
      </w:r>
    </w:p>
    <w:p>
      <w:r>
        <w:t>Os segmentos 11.0.0.0/8, 12.0.0.0/8 e 13.0.0.0/8 não são blocos privados RFC 1918. Em uma simulação isolada isso pode ser aceitável para demonstrar roteamento, mas em redes conectadas deve-se evitar sobreposição com endereços públicos. [1]</w:t>
      </w:r>
    </w:p>
    <w:p>
      <w:pPr>
        <w:pStyle w:val="Heading3"/>
      </w:pPr>
      <w:r>
        <w:t>4.2  Máscaras inconsistentes</w:t>
      </w:r>
    </w:p>
    <w:p>
      <w:r>
        <w:t>O Router0 aparece como 11.0.0.1/8 e o WRT300N como 11.0.0.150/24. Essa divergência altera a percepção de rede local entre os equipamentos. Um host /8 considera qualquer 11.x.x.x local; um host /24 considera local apenas o intervalo 11.0.0.x. O resultado pode ser tráfego enviado para o gateway em um lado e tratado como local no outro, dificultando diagnóstico e criando comportamento imprevisível.</w:t>
      </w:r>
    </w:p>
    <w:p>
      <w:pPr>
        <w:pStyle w:val="Heading3"/>
      </w:pPr>
      <w:r>
        <w:t>4.3  Endereço duplicado em servidores</w:t>
      </w:r>
    </w:p>
    <w:p>
      <w:r>
        <w:t>As telas mostram dois servidores com 11.0.0.100/8. Se estiverem no mesmo domínio de broadcast, ambos podem responder ao ARP para o mesmo IPv4, criando conflito. Se estiverem em redes roteadas diferentes, o desenho ainda exige documentação clara para impedir rotas ambíguas e erros operacionais.</w:t>
      </w:r>
    </w:p>
    <w:p>
      <w:pPr>
        <w:pStyle w:val="Heading3"/>
      </w:pPr>
      <w:r>
        <w:t>4.4  Inconsistência de gateway no lado do Router1</w:t>
      </w:r>
    </w:p>
    <w:p>
      <w:r>
        <w:t>O Router1 apresenta FastEthernet0/0 em 13.0.0.1/8, enquanto o servidor mostrado na região direita está configurado como 11.0.0.100/8 com gateway 11.0.0.1. Se esse servidor estiver conectado ao domínio atendido por 13.0.0.1, a configuração não corresponde ao gateway do segmento. Antes de classificar a falha como ataque, a equipe deve validar a topologia física e lógica. Segurança operacional exige separar incidente malicioso de erro de configuração.</w:t>
      </w:r>
    </w:p>
    <w:p>
      <w:pPr>
        <w:pStyle w:val="Heading3"/>
      </w:pPr>
      <w:r>
        <w:t>4.5  Uso predominante da VLAN 1</w:t>
      </w:r>
    </w:p>
    <w:p>
      <w:r>
        <w:t>Nos switches apresentados, várias portas continuam na VLAN 1. Em uma rede corporativa, manter usuários, servidores, wireless e gerenciamento no mesmo domínio amplia o alcance de broadcasts e a superfície para ataques locais. Uma proposta de separação seria: VLAN 10 para usuários, VLAN 20 para servidores, VLAN 30 para wireless e VLAN 99 para gerenciamento. As regras entre VLANs devem permitir apenas fluxos necessários.</w:t>
      </w:r>
    </w:p>
    <w:p>
      <w:pPr>
        <w:pStyle w:val="Heading2"/>
      </w:pPr>
      <w:r>
        <w:t>5  Arquitetura de defesa recomendada</w:t>
      </w:r>
    </w:p>
    <w:p>
      <w:r>
        <w:t>Nos switches, a defesa deve combinar Port Security, DHCP Snooping, Dynamic ARP Inspection, limitação de VLANs em trunks e desativação de portas não utilizadas. O DAI se beneficia da base de vínculos criada pelo DHCP Snooping e reduz a chance de aceitar associações ARP inválidas. [8]</w:t>
      </w:r>
    </w:p>
    <w:p>
      <w:r>
        <w:t>Nos roteadores, ACLs podem limitar tráfego entre redes, bloquear endereços de origem incompatíveis com a interface e reduzir exposição de serviços administrativos. Em uma rede corporativa, um firewall entre zonas de confiança acrescenta inspeção stateful, registro e política centralizada. Servidores devem executar apenas os serviços necessários, receber correções e preferir protocolos criptografados, como HTTPS e SSH.</w:t>
      </w:r>
    </w:p>
    <w:p>
      <w:r>
        <w:t>No wireless, o WRT300N deve ser tratado como uma zona própria, e não como uma extensão irrestrita da LAN. WPA2 ou WPA3, credenciais fortes, isolamento adequado e monitoramento de pontos de acesso ajudam a reduzir ataques de associação e Evil Twin. O tráfego de administração da rede deve permanecer separado do tráfego de usuários.</w:t>
      </w:r>
    </w:p>
    <w:p>
      <w:r>
        <w:t>Por fim, registros de roteadores, switches, servidores e sistemas de segurança precisam ser correlacionados. Alterações anormais na tabela ARP, novos servidores DHCP, mudanças de DNS, grande volume de SYN, varreduras e picos de ICMP ou UDP são sinais que podem indicar ataque ou erro operacional. A resposta depende de estabelecer uma linha de base do tráfego normal e investigar desvios.</w:t>
      </w:r>
    </w:p>
    <w:p>
      <w:pPr>
        <w:pStyle w:val="Heading1"/>
      </w:pPr>
      <w:r>
        <w:t>Conclusão</w:t>
      </w:r>
    </w:p>
    <w:p>
      <w:r>
        <w:t>A topologia do exercício mostra que a segurança da rede depende tanto do desenho dos protocolos quanto da configuração dos equipamentos. ARP, DHCP, DNS, IPv4, ICMP, TCP, UDP, Ethernet e Wi-Fi cumprem funções essenciais, mas podem ser explorados quando a infraestrutura aceita respostas sem validação, mantém segmentos excessivamente amplos ou permite tráfego sem controle entre zonas.</w:t>
      </w:r>
    </w:p>
    <w:p>
      <w:r>
        <w:t>No case Rede-alunos-aula.pkt, os principais riscos estão na camada 2 compartilhada, na configuração de endereçamento e máscaras, no uso predominante da VLAN 1, na presença de rede wireless e na ausência visível de uma política explícita de filtragem entre os segmentos. Os ataques discutidos não exigem necessariamente quebrar o protocolo TCP/IP: muitos exploram confiança implícita, identidade não autenticada, encaminhamento automático e falhas operacionais.</w:t>
      </w:r>
    </w:p>
    <w:p>
      <w:r>
        <w:t>A proteção deve ser construída em camadas. Segmentação, Port Security, DHCP Snooping, Dynamic ARP Inspection, ACLs, firewall, criptografia, autenticação forte e monitoramento reduzem a superfície de ataque e o impacto de um comprometimento. O primeiro passo, porém, é manter uma topologia coerente e documentada, porque uma rede mal configurada torna mais difícil distinguir um ataque de uma falha normal de operação.</w:t>
      </w:r>
    </w:p>
    <w:p>
      <w:pPr>
        <w:pStyle w:val="Heading1"/>
      </w:pPr>
      <w:r>
        <w:t>Referências</w:t>
      </w:r>
    </w:p>
    <w:p>
      <w:r>
        <w:t>Fontes consultadas em 29 de setembro de 2026. As chamadas numéricas no texto correspondem aos itens abaixo. Foram priorizadas especificações do IETF, documentação técnica da Cisco e a base MITRE ATT&amp;CK.</w:t>
      </w:r>
    </w:p>
    <w:p>
      <w:pPr/>
      <w:r>
        <w:t>[1] IETF / RFC EDITOR. RFC 1918 — Address Allocation for Private Internets. Faixas IPv4 reservadas para redes privadas.</w:t>
        <w:br/>
      </w:r>
      <w:r>
        <w:t>https://www.rfc-editor.org/rfc/rfc1918</w:t>
      </w:r>
    </w:p>
    <w:p>
      <w:pPr/>
      <w:r>
        <w:t>[2] IETF / RFC EDITOR. RFC 826 — An Ethernet Address Resolution Protocol. Especificação original do ARP.</w:t>
        <w:br/>
      </w:r>
      <w:r>
        <w:t>https://www.rfc-editor.org/rfc/rfc826</w:t>
      </w:r>
    </w:p>
    <w:p>
      <w:pPr/>
      <w:r>
        <w:t>[3] IETF / RFC EDITOR. RFC 2131 — Dynamic Host Configuration Protocol. Modelo cliente-servidor e alocação DHCP.</w:t>
        <w:br/>
      </w:r>
      <w:r>
        <w:t>https://www.rfc-editor.org/rfc/rfc2131</w:t>
      </w:r>
    </w:p>
    <w:p>
      <w:pPr/>
      <w:r>
        <w:t>[4a] IETF / RFC EDITOR. RFC 1034 — Domain Names: Concepts and Facilities. Conceitos e arquitetura do DNS.</w:t>
        <w:br/>
      </w:r>
      <w:r>
        <w:t>https://www.rfc-editor.org/rfc/rfc1034</w:t>
      </w:r>
    </w:p>
    <w:p>
      <w:pPr/>
      <w:r>
        <w:t>[4b] IETF / RFC EDITOR. RFC 1035 — Domain Names: Implementation and Specification. Mensagens, servidores e formato básico do DNS.</w:t>
        <w:br/>
      </w:r>
      <w:r>
        <w:t>https://www.rfc-editor.org/rfc/rfc1035</w:t>
      </w:r>
    </w:p>
    <w:p>
      <w:pPr/>
      <w:r>
        <w:t>[5] IETF / RFC EDITOR. RFC 9293 — Transmission Control Protocol (TCP). Especificação atual do TCP, estados, flags e conexões.</w:t>
        <w:br/>
      </w:r>
      <w:r>
        <w:t>https://www.rfc-editor.org/rfc/rfc9293</w:t>
      </w:r>
    </w:p>
    <w:p>
      <w:pPr/>
      <w:r>
        <w:t>[6] IETF / RFC EDITOR. RFC 768 — User Datagram Protocol. Especificação básica do UDP.</w:t>
        <w:br/>
      </w:r>
      <w:r>
        <w:t>https://www.rfc-editor.org/rfc/rfc768</w:t>
      </w:r>
    </w:p>
    <w:p>
      <w:pPr/>
      <w:r>
        <w:t>[7] MITRE ATT&amp;CK. T1557.002 — ARP Cache Poisoning. Uso de ARP falso para obter posição Adversary-in-the-Middle.</w:t>
        <w:br/>
      </w:r>
      <w:r>
        <w:t>https://attack.mitre.org/techniques/T1557/002/</w:t>
      </w:r>
    </w:p>
    <w:p>
      <w:pPr/>
      <w:r>
        <w:t>[8] CISCO. Layer 2 Security Features on Cisco Catalyst Switches. Port Security, DHCP Snooping, Dynamic ARP Inspection e IP Source Guard.</w:t>
        <w:br/>
      </w:r>
      <w:r>
        <w:t>https://www.cisco.com/c/en/us/support/docs/switches/catalyst-3750-series-switches/72846-layer2-secftrs-catl3fixed.html</w:t>
      </w:r>
    </w:p>
    <w:p>
      <w:pPr/>
      <w:r>
        <w:t>[9] MITRE ATT&amp;CK. T1557.003 — DHCP Spoofing. Servidor DHCP malicioso e redirecionamento de tráfego.</w:t>
        <w:br/>
      </w:r>
      <w:r>
        <w:t>https://attack.mitre.org/techniques/T1557/003/</w:t>
      </w:r>
    </w:p>
    <w:p>
      <w:pPr/>
      <w:r>
        <w:t>[10] MITRE ATT&amp;CK. T1498 — Network Denial of Service. Ataques de negação de serviço contra recursos e enlaces de rede.</w:t>
        <w:br/>
      </w:r>
      <w:r>
        <w:t>https://attack.mitre.org/techniques/T1498/</w:t>
      </w:r>
    </w:p>
    <w:p>
      <w:pPr/>
      <w:r>
        <w:t>[11] MITRE ATT&amp;CK. T1557.004 — Evil Twin. Ponto de acesso Wi-Fi falso para interceptação e manipulação.</w:t>
        <w:br/>
      </w:r>
      <w:r>
        <w:t>https://attack.mitre.org/techniques/T1557/004/</w:t>
      </w:r>
    </w:p>
    <w:p>
      <w:pPr/>
      <w:r>
        <w:t>[12] MITRE ATT&amp;CK. T1557 — Adversary-in-the-Middle. Categoria de técnicas para posicionamento entre dispositivos em rede.</w:t>
        <w:br/>
      </w:r>
      <w:r>
        <w:t>https://attack.mitre.org/techniques/T1557/</w:t>
      </w:r>
    </w:p>
    <w:sectPr w:rsidR="00FC693F" w:rsidRPr="0006063C" w:rsidSect="00034616">
      <w:footerReference w:type="default" r:id="rId41"/>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Pedro Ferreira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blogs.microsoft.com/commandline/windows-command-line-the-evolution-of-the-windows-command-line/" TargetMode="External"/><Relationship Id="rId10" Type="http://schemas.openxmlformats.org/officeDocument/2006/relationships/hyperlink" Target="https://learn.microsoft.com/en-us/windows-hardware/drivers/gettingstarted/user-mode-and-kernel-mode" TargetMode="External"/><Relationship Id="rId11" Type="http://schemas.openxmlformats.org/officeDocument/2006/relationships/hyperlink" Target="https://learn.microsoft.com/en-us/windows-hardware/drivers/kernel/overview-of-windows-components" TargetMode="External"/><Relationship Id="rId12" Type="http://schemas.openxmlformats.org/officeDocument/2006/relationships/hyperlink" Target="https://learn.microsoft.com/en-us/windows/win32/dwm/dwm-overview" TargetMode="External"/><Relationship Id="rId13" Type="http://schemas.openxmlformats.org/officeDocument/2006/relationships/hyperlink" Target="https://learn.microsoft.com/en-us/windows-server/administration/server-core/what-is-server-core" TargetMode="External"/><Relationship Id="rId14" Type="http://schemas.openxmlformats.org/officeDocument/2006/relationships/hyperlink" Target="https://learn.microsoft.com/en-us/windows/win32/apiindex/windows-api-list" TargetMode="External"/><Relationship Id="rId15" Type="http://schemas.openxmlformats.org/officeDocument/2006/relationships/hyperlink" Target="https://learn.microsoft.com/en-us/dotnet/core/introduction" TargetMode="External"/><Relationship Id="rId16" Type="http://schemas.openxmlformats.org/officeDocument/2006/relationships/hyperlink" Target="https://learn.microsoft.com/en-us/powershell/scripting/overview?view=powershell-7.5" TargetMode="External"/><Relationship Id="rId17" Type="http://schemas.openxmlformats.org/officeDocument/2006/relationships/hyperlink" Target="https://www.microsoft.com/licensing/guidance/Windows-Server-2025" TargetMode="External"/><Relationship Id="rId18" Type="http://schemas.openxmlformats.org/officeDocument/2006/relationships/hyperlink" Target="https://www.linuxfoundation.org/blog/blog/the-linux-foundation-its-not-just-the-linux-operating-system" TargetMode="External"/><Relationship Id="rId19" Type="http://schemas.openxmlformats.org/officeDocument/2006/relationships/hyperlink" Target="https://www.gnu.org/gnu/gnu-history.html" TargetMode="External"/><Relationship Id="rId20" Type="http://schemas.openxmlformats.org/officeDocument/2006/relationships/hyperlink" Target="https://docs.kernel.org/admin-guide/README.html" TargetMode="External"/><Relationship Id="rId21" Type="http://schemas.openxmlformats.org/officeDocument/2006/relationships/hyperlink" Target="https://linux-kernel-labs.github.io/refs/heads/master/lectures/intro.html" TargetMode="External"/><Relationship Id="rId22" Type="http://schemas.openxmlformats.org/officeDocument/2006/relationships/hyperlink" Target="https://man7.org/linux/man-pages/man7/namespaces.7.html" TargetMode="External"/><Relationship Id="rId23" Type="http://schemas.openxmlformats.org/officeDocument/2006/relationships/hyperlink" Target="https://docs.kernel.org/admin-guide/cgroup-v2.html" TargetMode="External"/><Relationship Id="rId24" Type="http://schemas.openxmlformats.org/officeDocument/2006/relationships/hyperlink" Target="https://wayland.freedesktop.org/architecture.html" TargetMode="External"/><Relationship Id="rId25" Type="http://schemas.openxmlformats.org/officeDocument/2006/relationships/hyperlink" Target="https://www.gnu.org/software/libc/manual/html_node/Introduction.html" TargetMode="External"/><Relationship Id="rId26" Type="http://schemas.openxmlformats.org/officeDocument/2006/relationships/hyperlink" Target="https://www.gnu.org/software/bash/manual/html_node/What-is-Bash_003f.html" TargetMode="External"/><Relationship Id="rId27" Type="http://schemas.openxmlformats.org/officeDocument/2006/relationships/hyperlink" Target="https://docs.kernel.org/process/license-rules.html" TargetMode="External"/><Relationship Id="rId28" Type="http://schemas.openxmlformats.org/officeDocument/2006/relationships/hyperlink" Target="https://docs.kernel.org/security/self-protection.html" TargetMode="External"/><Relationship Id="rId29" Type="http://schemas.openxmlformats.org/officeDocument/2006/relationships/hyperlink" Target="https://learn.microsoft.com/en-us/previous-versions/windows/it-pro/windows-server-2012-r2-and-2012/hh831579(v=ws.11)" TargetMode="External"/><Relationship Id="rId30" Type="http://schemas.openxmlformats.org/officeDocument/2006/relationships/hyperlink" Target="https://learn.microsoft.com/en-us/windows/security/application-security/application-control/user-account-control/" TargetMode="External"/><Relationship Id="rId31" Type="http://schemas.openxmlformats.org/officeDocument/2006/relationships/hyperlink" Target="https://learn.microsoft.com/en-us/windows/win32/secauthz/access-control" TargetMode="External"/><Relationship Id="rId32" Type="http://schemas.openxmlformats.org/officeDocument/2006/relationships/hyperlink" Target="https://learn.microsoft.com/en-us/windows-server/identity/ad-ds/manage/group-policy/group-policy-overview" TargetMode="External"/><Relationship Id="rId33" Type="http://schemas.openxmlformats.org/officeDocument/2006/relationships/hyperlink" Target="https://docs.kernel.org/admin-guide/LSM/index.html" TargetMode="External"/><Relationship Id="rId34" Type="http://schemas.openxmlformats.org/officeDocument/2006/relationships/hyperlink" Target="https://learn.microsoft.com/en-us/windows/deployment/update/windows-update-client-policies" TargetMode="External"/><Relationship Id="rId35" Type="http://schemas.openxmlformats.org/officeDocument/2006/relationships/hyperlink" Target="https://documentation.ubuntu.com/security/security-updates/" TargetMode="External"/><Relationship Id="rId36" Type="http://schemas.openxmlformats.org/officeDocument/2006/relationships/hyperlink" Target="https://learn.microsoft.com/windows-server/storage/file-server/ntfs-overview" TargetMode="External"/><Relationship Id="rId37" Type="http://schemas.openxmlformats.org/officeDocument/2006/relationships/hyperlink" Target="https://learn.microsoft.com/en-us/windows-server/storage/refs/refs-overview" TargetMode="External"/><Relationship Id="rId38" Type="http://schemas.openxmlformats.org/officeDocument/2006/relationships/hyperlink" Target="https://www.samba.org/samba/what_is_samba.html" TargetMode="External"/><Relationship Id="rId39" Type="http://schemas.openxmlformats.org/officeDocument/2006/relationships/hyperlink" Target="https://ubuntu.com/server/docs/how-to/sssd/with-active-directory/" TargetMode="External"/><Relationship Id="rId40" Type="http://schemas.openxmlformats.org/officeDocument/2006/relationships/hyperlink" Target="https://learn.microsoft.com/en-us/windows-server/storage/nfs/deploy-nfs"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Ameaças e atores em uma infraestrutura de rede TCP/IP</dc:title>
  <dc:subject>Pesquisa 1 — Cibersegurança — SENAC RJ / Cisco</dc:subject>
  <dc:creator>Pedro Ferreira</dc:creator>
  <cp:keywords>TCP/IP, cibersegurança, ARP, DHCP, DNS, TCP, UDP, Packet Tracer</cp:keywords>
  <dc:description>generated by python-docx</dc:description>
  <cp:lastModifiedBy/>
  <cp:revision>1</cp:revision>
  <dcterms:created xsi:type="dcterms:W3CDTF">2013-12-23T23:15:00Z</dcterms:created>
  <dcterms:modified xsi:type="dcterms:W3CDTF">2013-12-23T23:15:00Z</dcterms:modified>
  <cp:category/>
</cp:coreProperties>
</file>