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Projeto de ACL Padrão Nomeada</w:t>
      </w:r>
    </w:p>
    <w:p>
      <w:pPr>
        <w:jc w:val="center"/>
      </w:pPr>
      <w:r>
        <w:rPr>
          <w:i/>
          <w:sz w:val="20"/>
        </w:rPr>
        <w:t>Packet Tracer 9.0 | Atividade de estudo NetAcad | 21/10/2026</w:t>
      </w:r>
    </w:p>
    <w:p>
      <w:pPr>
        <w:pStyle w:val="Heading1"/>
      </w:pPr>
      <w:r>
        <w:rPr>
          <w:sz w:val="20"/>
        </w:rPr>
        <w:t>1. Objetivo</w:t>
      </w:r>
    </w:p>
    <w:p>
      <w:r>
        <w:rPr>
          <w:sz w:val="20"/>
        </w:rPr>
        <w:t>Segui o roteiro do PKA para criar uma ACL padrão nomeada no R1. A regra protege o File Server. Somente o PC1, usado pelo Web Manager, e o Web Server podem chegar ao servidor de arquivos.</w:t>
      </w:r>
    </w:p>
    <w:p>
      <w:pPr>
        <w:pStyle w:val="Heading1"/>
      </w:pPr>
      <w:r>
        <w:rPr>
          <w:sz w:val="20"/>
        </w:rPr>
        <w:t>2. Topologia e endereçamento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440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Dispositivo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Interface/NIC</w:t>
            </w:r>
          </w:p>
        </w:tc>
        <w:tc>
          <w:tcPr>
            <w:tcW w:type="dxa" w:w="1800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Endereço IP</w:t>
            </w:r>
          </w:p>
        </w:tc>
        <w:tc>
          <w:tcPr>
            <w:tcW w:type="dxa" w:w="1800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Máscara</w:t>
            </w:r>
          </w:p>
        </w:tc>
        <w:tc>
          <w:tcPr>
            <w:tcW w:type="dxa" w:w="187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Gateway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R1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FastEthernet0/0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192.168.100.1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255.255.255.0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R1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FastEthernet0/1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192.168.200.1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255.255.255.0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R1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Ethernet0/0/0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192.168.10.1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255.255.255.0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R1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Ethernet0/1/0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192.168.20.1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255.255.255.0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File Server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Placa de rede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192.168.200.100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255.255.255.0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192.168.200.1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Web Server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Placa de rede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192.168.100.100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255.255.255.0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192.168.100.1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PC0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Placa de rede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192.168.20.3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255.255.255.0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192.168.20.1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PC1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NIC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192.168.20.4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255.255.255.0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192.168.20.1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PC2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NIC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192.168.10.3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255.255.255.0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192.168.10.1</w:t>
            </w:r>
          </w:p>
        </w:tc>
      </w:tr>
    </w:tbl>
    <w:p/>
    <w:p>
      <w:pPr>
        <w:pStyle w:val="Heading1"/>
      </w:pPr>
      <w:r>
        <w:rPr>
          <w:sz w:val="20"/>
        </w:rPr>
        <w:t>3. Roteiro seguido do PKA</w:t>
      </w:r>
    </w:p>
    <w:p>
      <w:r>
        <w:rPr>
          <w:sz w:val="20"/>
        </w:rPr>
        <w:t>Antes da ACL, repeti os testes depois do aquecimento ARP. As seis rotas passaram com 4/4 respostas: PC0, PC1 e PC2 chegaram ao Web Server e ao File Server.</w:t>
      </w:r>
    </w:p>
    <w:p>
      <w:r>
        <w:rPr>
          <w:sz w:val="20"/>
        </w:rPr>
        <w:t>No R1, mantive o nome e a ordem exigidos pelo PKA. O nome diferencia maiúsculas e minúsculas.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R1# configure terminal</w:t>
        <w:br/>
        <w:t>R1(config)# ip access-list standard File_Server_Restrictions</w:t>
        <w:br/>
        <w:t>R1(config-std-nacl)# permit host 192.168.20.4</w:t>
        <w:br/>
        <w:t>R1(config-std-nacl)# permit host 192.168.100.100</w:t>
        <w:br/>
        <w:t>R1(config-std-nacl)# deny any</w:t>
        <w:br/>
        <w:t>R1(config-std-nacl)# exit</w:t>
        <w:br/>
        <w:t>R1(config)# interface FastEthernet0/1</w:t>
        <w:br/>
        <w:t>R1(config-if)# ip access-group File_Server_Restrictions out</w:t>
        <w:br/>
        <w:t>R1(config-if)# end</w:t>
        <w:br/>
        <w:t>R1# write memory</w:t>
      </w:r>
    </w:p>
    <w:p>
      <w:pPr>
        <w:pStyle w:val="Heading1"/>
      </w:pPr>
      <w:r>
        <w:rPr>
          <w:sz w:val="20"/>
        </w:rPr>
        <w:t>4. Verificação da lista e da interface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R1# show access-lists</w:t>
        <w:br/>
        <w:t>Standard IP access list File_Server_Restrictions</w:t>
        <w:br/>
        <w:t xml:space="preserve">    10 permit host 192.168.20.4</w:t>
        <w:br/>
        <w:t xml:space="preserve">    20 permit host 192.168.100.100</w:t>
        <w:br/>
        <w:t xml:space="preserve">    30 deny any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R1# show ip interface FastEthernet0/1</w:t>
        <w:br/>
        <w:t>FastEthernet0/1 is up, line protocol is up (connected)</w:t>
        <w:br/>
        <w:t xml:space="preserve">  Internet address is 192.168.200.1/24</w:t>
        <w:br/>
        <w:t xml:space="preserve">  Outgoing access list is File_Server_Restrictions</w:t>
        <w:br/>
        <w:t xml:space="preserve">  Inbound  access list is not set</w:t>
      </w:r>
    </w:p>
    <w:p>
      <w:pPr>
        <w:pStyle w:val="Heading1"/>
      </w:pPr>
      <w:r>
        <w:rPr>
          <w:sz w:val="20"/>
        </w:rPr>
        <w:t>5. Testes depois da ACL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440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Origem</w:t>
            </w:r>
          </w:p>
        </w:tc>
        <w:tc>
          <w:tcPr>
            <w:tcW w:type="dxa" w:w="2880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Destino</w:t>
            </w:r>
          </w:p>
        </w:tc>
        <w:tc>
          <w:tcPr>
            <w:tcW w:type="dxa" w:w="2376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Resultado observado</w:t>
            </w:r>
          </w:p>
        </w:tc>
        <w:tc>
          <w:tcPr>
            <w:tcW w:type="dxa" w:w="1440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Critério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PC0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Web Server 192.168.100.100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4/4, 100%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Permitido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PC1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Web Server 192.168.100.100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4/4, 100%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Permitido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PC2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Web Server 192.168.100.100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4/4, 100%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Permitido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PC1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File Server 192.168.200.100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4/4, 100%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Permitido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Web Server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File Server 192.168.200.100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4/4, 100%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Permitido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PC0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File Server 192.168.200.100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Destination host unreachable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Negado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PC2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File Server 192.168.200.100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Destination host unreachable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Negado</w:t>
            </w:r>
          </w:p>
        </w:tc>
      </w:tr>
    </w:tbl>
    <w:p/>
    <w:p>
      <w:r>
        <w:rPr>
          <w:sz w:val="20"/>
        </w:rPr>
        <w:t>O retorno de PC0 veio de 192.168.20.1. O retorno de PC2 veio de 192.168.10.1. O parser do Packet Tracer conta essa mensagem como uma resposta ICMP, mas o texto bruto confirma que o destino foi bloqueado.</w:t>
      </w:r>
    </w:p>
    <w:p>
      <w:pPr>
        <w:pStyle w:val="Heading1"/>
      </w:pPr>
      <w:r>
        <w:rPr>
          <w:sz w:val="20"/>
        </w:rPr>
        <w:t>6. Contadores da ACL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R1# show access-lists</w:t>
        <w:br/>
        <w:t xml:space="preserve">    10 permit host 192.168.20.4 (4 match(es))</w:t>
        <w:br/>
        <w:t xml:space="preserve">    20 permit host 192.168.100.100 (4 match(es))</w:t>
        <w:br/>
        <w:t xml:space="preserve">    30 deny any (8 match(es))</w:t>
      </w:r>
    </w:p>
    <w:p>
      <w:r>
        <w:rPr>
          <w:sz w:val="20"/>
        </w:rPr>
        <w:t>Os contadores confirmam quatro pacotes permitidos do PC1, quatro do Web Server e oito pacotes negados dos testes de PC0 e PC2.</w:t>
      </w:r>
    </w:p>
    <w:p>
      <w:pPr>
        <w:pStyle w:val="Heading1"/>
      </w:pPr>
      <w:r>
        <w:rPr>
          <w:sz w:val="20"/>
        </w:rPr>
        <w:t>7. Rastreabilidade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19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Registro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Fonte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D:\VSCODE_PROJECTS\SENAC_CISCO_CIBERSECURITY\Packet Tracer\Controle de Acesso por ACL\Portuguese_Configure_Named_Standard_IPv4_ACLs_pka.pka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Arquivo final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D:\VSCODE_PROJECTS\SENAC_CISCO_CIBERSECURITY\Packet Tracer\Controle de Acesso por ACL\PedroFerreira_2026-10-21_Projeto-ACL-Nomeada.pkt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SHA-1 do arquivo final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CB486EA9CF80F962B3D97CB176B4A9C74F92FA6C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Preservação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O PKA de origem foi mantido. O arquivo final contém a configuração nomeada aplicada e salva.</w:t>
            </w:r>
          </w:p>
        </w:tc>
      </w:tr>
    </w:tbl>
    <w:p/>
    <w:p>
      <w:pPr>
        <w:pStyle w:val="Heading1"/>
      </w:pPr>
      <w:r>
        <w:rPr>
          <w:sz w:val="20"/>
        </w:rPr>
        <w:t>8. Resultado</w:t>
      </w:r>
    </w:p>
    <w:p>
      <w:r>
        <w:rPr>
          <w:sz w:val="20"/>
        </w:rPr>
        <w:t>A atividade atende ao roteiro do PKA. A ACL usa o nome exato, a ordem exata e está aplicada na saída da FastEthernet0/1. Os testes comprovam o acesso seletivo ao File Server.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