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F4C81"/>
          <w:sz w:val="44"/>
        </w:rPr>
        <w:t>BÁO CÁO ĐIỀU HÀNH BỆNH VIỆN</w:t>
      </w:r>
    </w:p>
    <w:p>
      <w:pPr>
        <w:spacing w:after="480"/>
        <w:jc w:val="center"/>
      </w:pPr>
      <w:r>
        <w:rPr>
          <w:rFonts w:ascii="Arial" w:hAnsi="Arial"/>
          <w:i/>
          <w:color w:val="646464"/>
          <w:sz w:val="21"/>
        </w:rPr>
        <w:t>Kỳ báo cáo: [Tháng/Quý/Năm]  |  Người lập: [Họ và tên / Chức vụ]</w:t>
      </w:r>
    </w:p>
    <w:p>
      <w:pPr>
        <w:keepNext/>
        <w:spacing w:before="240" w:after="120"/>
      </w:pPr>
      <w:r>
        <w:rPr>
          <w:rFonts w:ascii="Arial" w:hAnsi="Arial"/>
          <w:b/>
          <w:color w:val="0F4C81"/>
          <w:sz w:val="28"/>
        </w:rPr>
        <w:t>1. Tóm tắt điều hành (Executive Summary)</w:t>
      </w:r>
    </w:p>
    <w:p>
      <w:pPr>
        <w:spacing w:after="120"/>
      </w:pPr>
      <w:r>
        <w:rPr>
          <w:rFonts w:ascii="Arial" w:hAnsi="Arial"/>
          <w:sz w:val="22"/>
        </w:rPr>
        <w:t>Báo cáo tóm tắt các chỉ số hiệu suất hoạt động cốt lõi của bệnh viện trong kỳ [Kỳ báo cáo], so sánh với [Kỳ trước hoặc Mục tiêu chiến lược].</w:t>
      </w:r>
    </w:p>
    <w:p>
      <w:pPr>
        <w:pStyle w:val="ListBullet"/>
        <w:spacing w:after="80"/>
      </w:pPr>
      <w:r>
        <w:rPr>
          <w:rFonts w:ascii="Arial" w:hAnsi="Arial"/>
          <w:b/>
          <w:sz w:val="22"/>
        </w:rPr>
        <w:t xml:space="preserve">Lưu lượng bệnh nhân: </w:t>
      </w:r>
      <w:r>
        <w:rPr>
          <w:rFonts w:ascii="Arial" w:hAnsi="Arial"/>
          <w:sz w:val="22"/>
        </w:rPr>
        <w:t>Tổng số lượt khám đạt [...] lượt (tăng/giảm [...]%). Trong đó, số ca ngoại trú chiếm [...] lượt, nội trú chiếm [...] lượt.</w:t>
      </w:r>
    </w:p>
    <w:p>
      <w:pPr>
        <w:pStyle w:val="ListBullet"/>
        <w:spacing w:after="80"/>
      </w:pPr>
      <w:r>
        <w:rPr>
          <w:rFonts w:ascii="Arial" w:hAnsi="Arial"/>
          <w:b/>
          <w:sz w:val="22"/>
        </w:rPr>
        <w:t xml:space="preserve">Hiệu suất giường bệnh: </w:t>
      </w:r>
      <w:r>
        <w:rPr>
          <w:rFonts w:ascii="Arial" w:hAnsi="Arial"/>
          <w:sz w:val="22"/>
        </w:rPr>
        <w:t>Công suất sử dụng giường bệnh trung bình (Bed Occupancy Rate - BOR) toàn viện đạt [...]%. Thời gian nằm viện trung bình (Average Length of Stay - ALOS) ghi nhận ở mức [...] ngày.</w:t>
      </w:r>
    </w:p>
    <w:p>
      <w:pPr>
        <w:pStyle w:val="ListBullet"/>
        <w:spacing w:after="80"/>
      </w:pPr>
      <w:r>
        <w:rPr>
          <w:rFonts w:ascii="Arial" w:hAnsi="Arial"/>
          <w:b/>
          <w:sz w:val="22"/>
        </w:rPr>
        <w:t xml:space="preserve">Hiệu suất vận hành: </w:t>
      </w:r>
      <w:r>
        <w:rPr>
          <w:rFonts w:ascii="Arial" w:hAnsi="Arial"/>
          <w:sz w:val="22"/>
        </w:rPr>
        <w:t>Thời gian chờ khám trung bình tại khoa Khám bệnh là [...] phút (tăng/giảm [...] phút so với mục tiêu đề ra).</w:t>
      </w:r>
    </w:p>
    <w:p>
      <w:pPr>
        <w:pStyle w:val="ListBullet"/>
        <w:spacing w:after="80"/>
      </w:pPr>
      <w:r>
        <w:rPr>
          <w:rFonts w:ascii="Arial" w:hAnsi="Arial"/>
          <w:b/>
          <w:sz w:val="22"/>
        </w:rPr>
        <w:t xml:space="preserve">Chỉ số tài chính / Vật tư (nếu có): </w:t>
      </w:r>
      <w:r>
        <w:rPr>
          <w:rFonts w:ascii="Arial" w:hAnsi="Arial"/>
          <w:sz w:val="22"/>
        </w:rPr>
        <w:t>Chi phí vật tư y tế và thuốc bình quân trên mỗi ca bệnh [tăng/giảm/ổn định] ở mức [...], đáp ứng định mức kiểm soát chi phí của Ban Giám đốc.</w:t>
      </w:r>
    </w:p>
    <w:p>
      <w:pPr>
        <w:keepNext/>
        <w:spacing w:before="240" w:after="120"/>
      </w:pPr>
      <w:r>
        <w:rPr>
          <w:rFonts w:ascii="Arial" w:hAnsi="Arial"/>
          <w:b/>
          <w:color w:val="0F4C81"/>
          <w:sz w:val="28"/>
        </w:rPr>
        <w:t>2. Phân tích chi tiết (Detailed Analysis)</w:t>
      </w:r>
    </w:p>
    <w:p>
      <w:pPr>
        <w:spacing w:before="120" w:after="120"/>
      </w:pPr>
      <w:r>
        <w:rPr>
          <w:rFonts w:ascii="Arial" w:hAnsi="Arial"/>
          <w:b/>
          <w:color w:val="2B6CB0"/>
          <w:sz w:val="24"/>
        </w:rPr>
        <w:t>2.1. Khối Ngoại trú &amp; Cấp cứu</w:t>
      </w:r>
    </w:p>
    <w:tbl>
      <w:tblPr>
        <w:tblW w:type="auto" w:w="0"/>
        <w:tblLayout w:type="fixed"/>
        <w:tblLook w:firstColumn="1" w:firstRow="1" w:lastColumn="0" w:lastRow="0" w:noHBand="0" w:noVBand="1" w:val="04A0"/>
      </w:tblPr>
      <w:tblGrid>
        <w:gridCol w:w="3168"/>
        <w:gridCol w:w="1872"/>
        <w:gridCol w:w="1872"/>
        <w:gridCol w:w="3168"/>
      </w:tblGrid>
      <w:tr>
        <w:tc>
          <w:tcPr>
            <w:tcW w:type="dxa" w:w="2484"/>
            <w:shd w:fill="0F4C81"/>
            <w:tcMar>
              <w:top w:w="120" w:type="dxa"/>
              <w:bottom w:w="120" w:type="dxa"/>
              <w:left w:w="150" w:type="dxa"/>
              <w:right w:w="150" w:type="dxa"/>
            </w:tcMar>
          </w:tcPr>
          <w:p>
            <w:pPr>
              <w:jc w:val="center"/>
            </w:pPr>
            <w:r>
              <w:rPr>
                <w:rFonts w:ascii="Arial" w:hAnsi="Arial"/>
                <w:b/>
                <w:color w:val="FFFFFF"/>
                <w:sz w:val="20"/>
              </w:rPr>
              <w:t>Chỉ số hiệu suất</w:t>
            </w:r>
          </w:p>
        </w:tc>
        <w:tc>
          <w:tcPr>
            <w:tcW w:type="dxa" w:w="2484"/>
            <w:shd w:fill="0F4C81"/>
            <w:tcMar>
              <w:top w:w="120" w:type="dxa"/>
              <w:bottom w:w="120" w:type="dxa"/>
              <w:left w:w="150" w:type="dxa"/>
              <w:right w:w="150" w:type="dxa"/>
            </w:tcMar>
          </w:tcPr>
          <w:p>
            <w:pPr>
              <w:jc w:val="center"/>
            </w:pPr>
            <w:r>
              <w:rPr>
                <w:rFonts w:ascii="Arial" w:hAnsi="Arial"/>
                <w:b/>
                <w:color w:val="FFFFFF"/>
                <w:sz w:val="20"/>
              </w:rPr>
              <w:t>Thực tế kỳ này</w:t>
            </w:r>
          </w:p>
        </w:tc>
        <w:tc>
          <w:tcPr>
            <w:tcW w:type="dxa" w:w="2484"/>
            <w:shd w:fill="0F4C81"/>
            <w:tcMar>
              <w:top w:w="120" w:type="dxa"/>
              <w:bottom w:w="120" w:type="dxa"/>
              <w:left w:w="150" w:type="dxa"/>
              <w:right w:w="150" w:type="dxa"/>
            </w:tcMar>
          </w:tcPr>
          <w:p>
            <w:pPr>
              <w:jc w:val="center"/>
            </w:pPr>
            <w:r>
              <w:rPr>
                <w:rFonts w:ascii="Arial" w:hAnsi="Arial"/>
                <w:b/>
                <w:color w:val="FFFFFF"/>
                <w:sz w:val="20"/>
              </w:rPr>
              <w:t>So với kỳ trước</w:t>
            </w:r>
          </w:p>
        </w:tc>
        <w:tc>
          <w:tcPr>
            <w:tcW w:type="dxa" w:w="2484"/>
            <w:shd w:fill="0F4C81"/>
            <w:tcMar>
              <w:top w:w="120" w:type="dxa"/>
              <w:bottom w:w="120" w:type="dxa"/>
              <w:left w:w="150" w:type="dxa"/>
              <w:right w:w="150" w:type="dxa"/>
            </w:tcMar>
          </w:tcPr>
          <w:p>
            <w:pPr>
              <w:jc w:val="center"/>
            </w:pPr>
            <w:r>
              <w:rPr>
                <w:rFonts w:ascii="Arial" w:hAnsi="Arial"/>
                <w:b/>
                <w:color w:val="FFFFFF"/>
                <w:sz w:val="20"/>
              </w:rPr>
              <w:t>Ghi chú / Nguyên nhân chính</w:t>
            </w:r>
          </w:p>
        </w:tc>
      </w:tr>
      <w:tr>
        <w:tc>
          <w:tcPr>
            <w:tcW w:type="dxa" w:w="2484"/>
            <w:tcMar>
              <w:top w:w="100" w:type="dxa"/>
              <w:bottom w:w="100" w:type="dxa"/>
              <w:left w:w="150" w:type="dxa"/>
              <w:right w:w="150" w:type="dxa"/>
            </w:tcMar>
          </w:tcPr>
          <w:p>
            <w:r>
              <w:rPr>
                <w:rFonts w:ascii="Arial" w:hAnsi="Arial"/>
                <w:sz w:val="20"/>
              </w:rPr>
              <w:t>Tổng lượt khám</w:t>
            </w:r>
          </w:p>
        </w:tc>
        <w:tc>
          <w:tcPr>
            <w:tcW w:type="dxa" w:w="2484"/>
            <w:tcMar>
              <w:top w:w="100" w:type="dxa"/>
              <w:bottom w:w="100" w:type="dxa"/>
              <w:left w:w="150" w:type="dxa"/>
              <w:right w:w="150" w:type="dxa"/>
            </w:tcMar>
          </w:tcPr>
          <w:p>
            <w:pPr>
              <w:jc w:val="center"/>
            </w:pPr>
            <w:r>
              <w:rPr>
                <w:rFonts w:ascii="Arial" w:hAnsi="Arial"/>
                <w:sz w:val="20"/>
              </w:rPr>
              <w:t>[...]</w:t>
            </w:r>
          </w:p>
        </w:tc>
        <w:tc>
          <w:tcPr>
            <w:tcW w:type="dxa" w:w="2484"/>
            <w:tcMar>
              <w:top w:w="100" w:type="dxa"/>
              <w:bottom w:w="100" w:type="dxa"/>
              <w:left w:w="150" w:type="dxa"/>
              <w:right w:w="150" w:type="dxa"/>
            </w:tcMar>
          </w:tcPr>
          <w:p>
            <w:pPr>
              <w:jc w:val="center"/>
            </w:pPr>
            <w:r>
              <w:rPr>
                <w:rFonts w:ascii="Arial" w:hAnsi="Arial"/>
                <w:sz w:val="20"/>
              </w:rPr>
              <w:t>[+/- ...%]</w:t>
            </w:r>
          </w:p>
        </w:tc>
        <w:tc>
          <w:tcPr>
            <w:tcW w:type="dxa" w:w="2484"/>
            <w:tcMar>
              <w:top w:w="100" w:type="dxa"/>
              <w:bottom w:w="100" w:type="dxa"/>
              <w:left w:w="150" w:type="dxa"/>
              <w:right w:w="150" w:type="dxa"/>
            </w:tcMar>
          </w:tcPr>
          <w:p>
            <w:r>
              <w:rPr>
                <w:rFonts w:ascii="Arial" w:hAnsi="Arial"/>
                <w:sz w:val="20"/>
              </w:rPr>
              <w:t>[...]</w:t>
            </w:r>
          </w:p>
        </w:tc>
      </w:tr>
      <w:tr>
        <w:tc>
          <w:tcPr>
            <w:tcW w:type="dxa" w:w="2484"/>
            <w:tcMar>
              <w:top w:w="100" w:type="dxa"/>
              <w:bottom w:w="100" w:type="dxa"/>
              <w:left w:w="150" w:type="dxa"/>
              <w:right w:w="150" w:type="dxa"/>
            </w:tcMar>
            <w:shd w:fill="F7FAFC"/>
          </w:tcPr>
          <w:p>
            <w:r>
              <w:rPr>
                <w:rFonts w:ascii="Arial" w:hAnsi="Arial"/>
                <w:sz w:val="20"/>
              </w:rPr>
              <w:t>Số ca Cấp cứu (ER)</w:t>
            </w:r>
          </w:p>
        </w:tc>
        <w:tc>
          <w:tcPr>
            <w:tcW w:type="dxa" w:w="2484"/>
            <w:tcMar>
              <w:top w:w="100" w:type="dxa"/>
              <w:bottom w:w="100" w:type="dxa"/>
              <w:left w:w="150" w:type="dxa"/>
              <w:right w:w="150" w:type="dxa"/>
            </w:tcMar>
            <w:shd w:fill="F7FAFC"/>
          </w:tcPr>
          <w:p>
            <w:pPr>
              <w:jc w:val="center"/>
            </w:pPr>
            <w:r>
              <w:rPr>
                <w:rFonts w:ascii="Arial" w:hAnsi="Arial"/>
                <w:sz w:val="20"/>
              </w:rPr>
              <w:t>[...]</w:t>
            </w:r>
          </w:p>
        </w:tc>
        <w:tc>
          <w:tcPr>
            <w:tcW w:type="dxa" w:w="2484"/>
            <w:tcMar>
              <w:top w:w="100" w:type="dxa"/>
              <w:bottom w:w="100" w:type="dxa"/>
              <w:left w:w="150" w:type="dxa"/>
              <w:right w:w="150" w:type="dxa"/>
            </w:tcMar>
            <w:shd w:fill="F7FAFC"/>
          </w:tcPr>
          <w:p>
            <w:pPr>
              <w:jc w:val="center"/>
            </w:pPr>
            <w:r>
              <w:rPr>
                <w:rFonts w:ascii="Arial" w:hAnsi="Arial"/>
                <w:sz w:val="20"/>
              </w:rPr>
              <w:t>[+/- ...%]</w:t>
            </w:r>
          </w:p>
        </w:tc>
        <w:tc>
          <w:tcPr>
            <w:tcW w:type="dxa" w:w="2484"/>
            <w:tcMar>
              <w:top w:w="100" w:type="dxa"/>
              <w:bottom w:w="100" w:type="dxa"/>
              <w:left w:w="150" w:type="dxa"/>
              <w:right w:w="150" w:type="dxa"/>
            </w:tcMar>
            <w:shd w:fill="F7FAFC"/>
          </w:tcPr>
          <w:p>
            <w:r>
              <w:rPr>
                <w:rFonts w:ascii="Arial" w:hAnsi="Arial"/>
                <w:sz w:val="20"/>
              </w:rPr>
              <w:t>[...]</w:t>
            </w:r>
          </w:p>
        </w:tc>
      </w:tr>
      <w:tr>
        <w:tc>
          <w:tcPr>
            <w:tcW w:type="dxa" w:w="2484"/>
            <w:tcMar>
              <w:top w:w="100" w:type="dxa"/>
              <w:bottom w:w="100" w:type="dxa"/>
              <w:left w:w="150" w:type="dxa"/>
              <w:right w:w="150" w:type="dxa"/>
            </w:tcMar>
          </w:tcPr>
          <w:p>
            <w:r>
              <w:rPr>
                <w:rFonts w:ascii="Arial" w:hAnsi="Arial"/>
                <w:sz w:val="20"/>
              </w:rPr>
              <w:t>Thời gian chờ khám TB</w:t>
            </w:r>
          </w:p>
        </w:tc>
        <w:tc>
          <w:tcPr>
            <w:tcW w:type="dxa" w:w="2484"/>
            <w:tcMar>
              <w:top w:w="100" w:type="dxa"/>
              <w:bottom w:w="100" w:type="dxa"/>
              <w:left w:w="150" w:type="dxa"/>
              <w:right w:w="150" w:type="dxa"/>
            </w:tcMar>
          </w:tcPr>
          <w:p>
            <w:pPr>
              <w:jc w:val="center"/>
            </w:pPr>
            <w:r>
              <w:rPr>
                <w:rFonts w:ascii="Arial" w:hAnsi="Arial"/>
                <w:sz w:val="20"/>
              </w:rPr>
              <w:t>[...] phút</w:t>
            </w:r>
          </w:p>
        </w:tc>
        <w:tc>
          <w:tcPr>
            <w:tcW w:type="dxa" w:w="2484"/>
            <w:tcMar>
              <w:top w:w="100" w:type="dxa"/>
              <w:bottom w:w="100" w:type="dxa"/>
              <w:left w:w="150" w:type="dxa"/>
              <w:right w:w="150" w:type="dxa"/>
            </w:tcMar>
          </w:tcPr>
          <w:p>
            <w:pPr>
              <w:jc w:val="center"/>
            </w:pPr>
            <w:r>
              <w:rPr>
                <w:rFonts w:ascii="Arial" w:hAnsi="Arial"/>
                <w:sz w:val="20"/>
              </w:rPr>
              <w:t>[+/- ... phút]</w:t>
            </w:r>
          </w:p>
        </w:tc>
        <w:tc>
          <w:tcPr>
            <w:tcW w:type="dxa" w:w="2484"/>
            <w:tcMar>
              <w:top w:w="100" w:type="dxa"/>
              <w:bottom w:w="100" w:type="dxa"/>
              <w:left w:w="150" w:type="dxa"/>
              <w:right w:w="150" w:type="dxa"/>
            </w:tcMar>
          </w:tcPr>
          <w:p>
            <w:r>
              <w:rPr>
                <w:rFonts w:ascii="Arial" w:hAnsi="Arial"/>
                <w:sz w:val="20"/>
              </w:rPr>
              <w:t>[...]</w:t>
            </w:r>
          </w:p>
        </w:tc>
      </w:tr>
      <w:tr>
        <w:tc>
          <w:tcPr>
            <w:tcW w:type="dxa" w:w="2484"/>
            <w:tcMar>
              <w:top w:w="100" w:type="dxa"/>
              <w:bottom w:w="100" w:type="dxa"/>
              <w:left w:w="150" w:type="dxa"/>
              <w:right w:w="150" w:type="dxa"/>
            </w:tcMar>
            <w:shd w:fill="F7FAFC"/>
          </w:tcPr>
          <w:p>
            <w:r>
              <w:rPr>
                <w:rFonts w:ascii="Arial" w:hAnsi="Arial"/>
                <w:sz w:val="20"/>
              </w:rPr>
              <w:t>Tỷ lệ chuyển nội trú</w:t>
            </w:r>
          </w:p>
        </w:tc>
        <w:tc>
          <w:tcPr>
            <w:tcW w:type="dxa" w:w="2484"/>
            <w:tcMar>
              <w:top w:w="100" w:type="dxa"/>
              <w:bottom w:w="100" w:type="dxa"/>
              <w:left w:w="150" w:type="dxa"/>
              <w:right w:w="150" w:type="dxa"/>
            </w:tcMar>
            <w:shd w:fill="F7FAFC"/>
          </w:tcPr>
          <w:p>
            <w:pPr>
              <w:jc w:val="center"/>
            </w:pPr>
            <w:r>
              <w:rPr>
                <w:rFonts w:ascii="Arial" w:hAnsi="Arial"/>
                <w:sz w:val="20"/>
              </w:rPr>
              <w:t>[... ]%</w:t>
            </w:r>
          </w:p>
        </w:tc>
        <w:tc>
          <w:tcPr>
            <w:tcW w:type="dxa" w:w="2484"/>
            <w:tcMar>
              <w:top w:w="100" w:type="dxa"/>
              <w:bottom w:w="100" w:type="dxa"/>
              <w:left w:w="150" w:type="dxa"/>
              <w:right w:w="150" w:type="dxa"/>
            </w:tcMar>
            <w:shd w:fill="F7FAFC"/>
          </w:tcPr>
          <w:p>
            <w:pPr>
              <w:jc w:val="center"/>
            </w:pPr>
            <w:r>
              <w:rPr>
                <w:rFonts w:ascii="Arial" w:hAnsi="Arial"/>
                <w:sz w:val="20"/>
              </w:rPr>
              <w:t>[+/- ...%]</w:t>
            </w:r>
          </w:p>
        </w:tc>
        <w:tc>
          <w:tcPr>
            <w:tcW w:type="dxa" w:w="2484"/>
            <w:tcMar>
              <w:top w:w="100" w:type="dxa"/>
              <w:bottom w:w="100" w:type="dxa"/>
              <w:left w:w="150" w:type="dxa"/>
              <w:right w:w="150" w:type="dxa"/>
            </w:tcMar>
            <w:shd w:fill="F7FAFC"/>
          </w:tcPr>
          <w:p>
            <w:r>
              <w:rPr>
                <w:rFonts w:ascii="Arial" w:hAnsi="Arial"/>
                <w:sz w:val="20"/>
              </w:rPr>
              <w:t>[...]</w:t>
            </w:r>
          </w:p>
        </w:tc>
      </w:tr>
    </w:tbl>
    <w:p>
      <w:pPr>
        <w:spacing w:after="240"/>
      </w:pPr>
    </w:p>
    <w:p>
      <w:pPr>
        <w:spacing w:after="120"/>
      </w:pPr>
      <w:r>
        <w:rPr>
          <w:rFonts w:ascii="Arial" w:hAnsi="Arial"/>
          <w:b/>
          <w:color w:val="2B6CB0"/>
          <w:sz w:val="24"/>
        </w:rPr>
        <w:t>2.2. Khối Nội trú &amp; Phẫu thuật</w:t>
      </w:r>
    </w:p>
    <w:tbl>
      <w:tblPr>
        <w:tblW w:type="auto" w:w="0"/>
        <w:tblLayout w:type="fixed"/>
        <w:tblLook w:firstColumn="1" w:firstRow="1" w:lastColumn="0" w:lastRow="0" w:noHBand="0" w:noVBand="1" w:val="04A0"/>
      </w:tblPr>
      <w:tblGrid>
        <w:gridCol w:w="2592"/>
        <w:gridCol w:w="1872"/>
        <w:gridCol w:w="1872"/>
        <w:gridCol w:w="1872"/>
        <w:gridCol w:w="1872"/>
      </w:tblGrid>
      <w:tr>
        <w:tc>
          <w:tcPr>
            <w:tcW w:type="dxa" w:w="1987"/>
            <w:shd w:fill="0F4C81"/>
            <w:tcMar>
              <w:top w:w="120" w:type="dxa"/>
              <w:bottom w:w="120" w:type="dxa"/>
              <w:left w:w="150" w:type="dxa"/>
              <w:right w:w="150" w:type="dxa"/>
            </w:tcMar>
          </w:tcPr>
          <w:p>
            <w:pPr>
              <w:jc w:val="center"/>
            </w:pPr>
            <w:r>
              <w:rPr>
                <w:rFonts w:ascii="Arial" w:hAnsi="Arial"/>
                <w:b/>
                <w:color w:val="FFFFFF"/>
                <w:sz w:val="20"/>
              </w:rPr>
              <w:t>Khoa / Khối</w:t>
            </w:r>
          </w:p>
        </w:tc>
        <w:tc>
          <w:tcPr>
            <w:tcW w:type="dxa" w:w="1987"/>
            <w:shd w:fill="0F4C81"/>
            <w:tcMar>
              <w:top w:w="120" w:type="dxa"/>
              <w:bottom w:w="120" w:type="dxa"/>
              <w:left w:w="150" w:type="dxa"/>
              <w:right w:w="150" w:type="dxa"/>
            </w:tcMar>
          </w:tcPr>
          <w:p>
            <w:pPr>
              <w:jc w:val="center"/>
            </w:pPr>
            <w:r>
              <w:rPr>
                <w:rFonts w:ascii="Arial" w:hAnsi="Arial"/>
                <w:b/>
                <w:color w:val="FFFFFF"/>
                <w:sz w:val="20"/>
              </w:rPr>
              <w:t>Số BN nhập viện</w:t>
            </w:r>
          </w:p>
        </w:tc>
        <w:tc>
          <w:tcPr>
            <w:tcW w:type="dxa" w:w="1987"/>
            <w:shd w:fill="0F4C81"/>
            <w:tcMar>
              <w:top w:w="120" w:type="dxa"/>
              <w:bottom w:w="120" w:type="dxa"/>
              <w:left w:w="150" w:type="dxa"/>
              <w:right w:w="150" w:type="dxa"/>
            </w:tcMar>
          </w:tcPr>
          <w:p>
            <w:pPr>
              <w:jc w:val="center"/>
            </w:pPr>
            <w:r>
              <w:rPr>
                <w:rFonts w:ascii="Arial" w:hAnsi="Arial"/>
                <w:b/>
                <w:color w:val="FFFFFF"/>
                <w:sz w:val="20"/>
              </w:rPr>
              <w:t>BOR (%)</w:t>
            </w:r>
          </w:p>
        </w:tc>
        <w:tc>
          <w:tcPr>
            <w:tcW w:type="dxa" w:w="1987"/>
            <w:shd w:fill="0F4C81"/>
            <w:tcMar>
              <w:top w:w="120" w:type="dxa"/>
              <w:bottom w:w="120" w:type="dxa"/>
              <w:left w:w="150" w:type="dxa"/>
              <w:right w:w="150" w:type="dxa"/>
            </w:tcMar>
          </w:tcPr>
          <w:p>
            <w:pPr>
              <w:jc w:val="center"/>
            </w:pPr>
            <w:r>
              <w:rPr>
                <w:rFonts w:ascii="Arial" w:hAnsi="Arial"/>
                <w:b/>
                <w:color w:val="FFFFFF"/>
                <w:sz w:val="20"/>
              </w:rPr>
              <w:t>ALOS (Ngày)</w:t>
            </w:r>
          </w:p>
        </w:tc>
        <w:tc>
          <w:tcPr>
            <w:tcW w:type="dxa" w:w="1987"/>
            <w:shd w:fill="0F4C81"/>
            <w:tcMar>
              <w:top w:w="120" w:type="dxa"/>
              <w:bottom w:w="120" w:type="dxa"/>
              <w:left w:w="150" w:type="dxa"/>
              <w:right w:w="150" w:type="dxa"/>
            </w:tcMar>
          </w:tcPr>
          <w:p>
            <w:pPr>
              <w:jc w:val="center"/>
            </w:pPr>
            <w:r>
              <w:rPr>
                <w:rFonts w:ascii="Arial" w:hAnsi="Arial"/>
                <w:b/>
                <w:color w:val="FFFFFF"/>
                <w:sz w:val="20"/>
              </w:rPr>
              <w:t>Tỷ lệ tử vong/BC</w:t>
            </w:r>
          </w:p>
        </w:tc>
      </w:tr>
      <w:tr>
        <w:tc>
          <w:tcPr>
            <w:tcW w:type="dxa" w:w="1987"/>
            <w:tcMar>
              <w:top w:w="100" w:type="dxa"/>
              <w:bottom w:w="100" w:type="dxa"/>
              <w:left w:w="150" w:type="dxa"/>
              <w:right w:w="150" w:type="dxa"/>
            </w:tcMar>
          </w:tcPr>
          <w:p>
            <w:r>
              <w:rPr>
                <w:rFonts w:ascii="Arial" w:hAnsi="Arial"/>
                <w:sz w:val="20"/>
              </w:rPr>
              <w:t>Khoa [Tên khoa 1]</w:t>
            </w:r>
          </w:p>
        </w:tc>
        <w:tc>
          <w:tcPr>
            <w:tcW w:type="dxa" w:w="1987"/>
            <w:tcMar>
              <w:top w:w="100" w:type="dxa"/>
              <w:bottom w:w="100" w:type="dxa"/>
              <w:left w:w="150" w:type="dxa"/>
              <w:right w:w="150" w:type="dxa"/>
            </w:tcMar>
          </w:tcPr>
          <w:p>
            <w:pPr>
              <w:jc w:val="center"/>
            </w:pPr>
            <w:r>
              <w:rPr>
                <w:rFonts w:ascii="Arial" w:hAnsi="Arial"/>
                <w:sz w:val="20"/>
              </w:rPr>
              <w:t>[...]</w:t>
            </w:r>
          </w:p>
        </w:tc>
        <w:tc>
          <w:tcPr>
            <w:tcW w:type="dxa" w:w="1987"/>
            <w:tcMar>
              <w:top w:w="100" w:type="dxa"/>
              <w:bottom w:w="100" w:type="dxa"/>
              <w:left w:w="150" w:type="dxa"/>
              <w:right w:w="150" w:type="dxa"/>
            </w:tcMar>
          </w:tcPr>
          <w:p>
            <w:pPr>
              <w:jc w:val="center"/>
            </w:pPr>
            <w:r>
              <w:rPr>
                <w:rFonts w:ascii="Arial" w:hAnsi="Arial"/>
                <w:sz w:val="20"/>
              </w:rPr>
              <w:t>[... ]%</w:t>
            </w:r>
          </w:p>
        </w:tc>
        <w:tc>
          <w:tcPr>
            <w:tcW w:type="dxa" w:w="1987"/>
            <w:tcMar>
              <w:top w:w="100" w:type="dxa"/>
              <w:bottom w:w="100" w:type="dxa"/>
              <w:left w:w="150" w:type="dxa"/>
              <w:right w:w="150" w:type="dxa"/>
            </w:tcMar>
          </w:tcPr>
          <w:p>
            <w:pPr>
              <w:jc w:val="center"/>
            </w:pPr>
            <w:r>
              <w:rPr>
                <w:rFonts w:ascii="Arial" w:hAnsi="Arial"/>
                <w:sz w:val="20"/>
              </w:rPr>
              <w:t>[...] ngày</w:t>
            </w:r>
          </w:p>
        </w:tc>
        <w:tc>
          <w:tcPr>
            <w:tcW w:type="dxa" w:w="1987"/>
            <w:tcMar>
              <w:top w:w="100" w:type="dxa"/>
              <w:bottom w:w="100" w:type="dxa"/>
              <w:left w:w="150" w:type="dxa"/>
              <w:right w:w="150" w:type="dxa"/>
            </w:tcMar>
          </w:tcPr>
          <w:p>
            <w:pPr>
              <w:jc w:val="center"/>
            </w:pPr>
            <w:r>
              <w:rPr>
                <w:rFonts w:ascii="Arial" w:hAnsi="Arial"/>
                <w:sz w:val="20"/>
              </w:rPr>
              <w:t>[... ]%</w:t>
            </w:r>
          </w:p>
        </w:tc>
      </w:tr>
      <w:tr>
        <w:tc>
          <w:tcPr>
            <w:tcW w:type="dxa" w:w="1987"/>
            <w:tcMar>
              <w:top w:w="100" w:type="dxa"/>
              <w:bottom w:w="100" w:type="dxa"/>
              <w:left w:w="150" w:type="dxa"/>
              <w:right w:w="150" w:type="dxa"/>
            </w:tcMar>
            <w:shd w:fill="F7FAFC"/>
          </w:tcPr>
          <w:p>
            <w:r>
              <w:rPr>
                <w:rFonts w:ascii="Arial" w:hAnsi="Arial"/>
                <w:sz w:val="20"/>
              </w:rPr>
              <w:t>Khoa [Tên khoa 2]</w:t>
            </w:r>
          </w:p>
        </w:tc>
        <w:tc>
          <w:tcPr>
            <w:tcW w:type="dxa" w:w="1987"/>
            <w:tcMar>
              <w:top w:w="100" w:type="dxa"/>
              <w:bottom w:w="100" w:type="dxa"/>
              <w:left w:w="150" w:type="dxa"/>
              <w:right w:w="150" w:type="dxa"/>
            </w:tcMar>
            <w:shd w:fill="F7FAFC"/>
          </w:tcPr>
          <w:p>
            <w:pPr>
              <w:jc w:val="center"/>
            </w:pPr>
            <w:r>
              <w:rPr>
                <w:rFonts w:ascii="Arial" w:hAnsi="Arial"/>
                <w:sz w:val="20"/>
              </w:rPr>
              <w:t>[...]</w:t>
            </w:r>
          </w:p>
        </w:tc>
        <w:tc>
          <w:tcPr>
            <w:tcW w:type="dxa" w:w="1987"/>
            <w:tcMar>
              <w:top w:w="100" w:type="dxa"/>
              <w:bottom w:w="100" w:type="dxa"/>
              <w:left w:w="150" w:type="dxa"/>
              <w:right w:w="150" w:type="dxa"/>
            </w:tcMar>
            <w:shd w:fill="F7FAFC"/>
          </w:tcPr>
          <w:p>
            <w:pPr>
              <w:jc w:val="center"/>
            </w:pPr>
            <w:r>
              <w:rPr>
                <w:rFonts w:ascii="Arial" w:hAnsi="Arial"/>
                <w:sz w:val="20"/>
              </w:rPr>
              <w:t>[... ]%</w:t>
            </w:r>
          </w:p>
        </w:tc>
        <w:tc>
          <w:tcPr>
            <w:tcW w:type="dxa" w:w="1987"/>
            <w:tcMar>
              <w:top w:w="100" w:type="dxa"/>
              <w:bottom w:w="100" w:type="dxa"/>
              <w:left w:w="150" w:type="dxa"/>
              <w:right w:w="150" w:type="dxa"/>
            </w:tcMar>
            <w:shd w:fill="F7FAFC"/>
          </w:tcPr>
          <w:p>
            <w:pPr>
              <w:jc w:val="center"/>
            </w:pPr>
            <w:r>
              <w:rPr>
                <w:rFonts w:ascii="Arial" w:hAnsi="Arial"/>
                <w:sz w:val="20"/>
              </w:rPr>
              <w:t>[...] ngày</w:t>
            </w:r>
          </w:p>
        </w:tc>
        <w:tc>
          <w:tcPr>
            <w:tcW w:type="dxa" w:w="1987"/>
            <w:tcMar>
              <w:top w:w="100" w:type="dxa"/>
              <w:bottom w:w="100" w:type="dxa"/>
              <w:left w:w="150" w:type="dxa"/>
              <w:right w:w="150" w:type="dxa"/>
            </w:tcMar>
            <w:shd w:fill="F7FAFC"/>
          </w:tcPr>
          <w:p>
            <w:pPr>
              <w:jc w:val="center"/>
            </w:pPr>
            <w:r>
              <w:rPr>
                <w:rFonts w:ascii="Arial" w:hAnsi="Arial"/>
                <w:sz w:val="20"/>
              </w:rPr>
              <w:t>[... ]%</w:t>
            </w:r>
          </w:p>
        </w:tc>
      </w:tr>
      <w:tr>
        <w:tc>
          <w:tcPr>
            <w:tcW w:type="dxa" w:w="1987"/>
            <w:tcMar>
              <w:top w:w="100" w:type="dxa"/>
              <w:bottom w:w="100" w:type="dxa"/>
              <w:left w:w="150" w:type="dxa"/>
              <w:right w:w="150" w:type="dxa"/>
            </w:tcMar>
          </w:tcPr>
          <w:p>
            <w:r>
              <w:rPr>
                <w:rFonts w:ascii="Arial" w:hAnsi="Arial"/>
                <w:sz w:val="20"/>
              </w:rPr>
              <w:t>Khối Phẫu thuật</w:t>
            </w:r>
          </w:p>
        </w:tc>
        <w:tc>
          <w:tcPr>
            <w:tcW w:type="dxa" w:w="1987"/>
            <w:tcMar>
              <w:top w:w="100" w:type="dxa"/>
              <w:bottom w:w="100" w:type="dxa"/>
              <w:left w:w="150" w:type="dxa"/>
              <w:right w:w="150" w:type="dxa"/>
            </w:tcMar>
          </w:tcPr>
          <w:p>
            <w:pPr>
              <w:jc w:val="center"/>
            </w:pPr>
            <w:r>
              <w:rPr>
                <w:rFonts w:ascii="Arial" w:hAnsi="Arial"/>
                <w:sz w:val="20"/>
              </w:rPr>
              <w:t>[...] ca</w:t>
            </w:r>
          </w:p>
        </w:tc>
        <w:tc>
          <w:tcPr>
            <w:tcW w:type="dxa" w:w="1987"/>
            <w:tcMar>
              <w:top w:w="100" w:type="dxa"/>
              <w:bottom w:w="100" w:type="dxa"/>
              <w:left w:w="150" w:type="dxa"/>
              <w:right w:w="150" w:type="dxa"/>
            </w:tcMar>
          </w:tcPr>
          <w:p>
            <w:pPr>
              <w:jc w:val="center"/>
            </w:pPr>
            <w:r>
              <w:rPr>
                <w:rFonts w:ascii="Arial" w:hAnsi="Arial"/>
                <w:sz w:val="20"/>
              </w:rPr>
              <w:t>N/A</w:t>
            </w:r>
          </w:p>
        </w:tc>
        <w:tc>
          <w:tcPr>
            <w:tcW w:type="dxa" w:w="1987"/>
            <w:tcMar>
              <w:top w:w="100" w:type="dxa"/>
              <w:bottom w:w="100" w:type="dxa"/>
              <w:left w:w="150" w:type="dxa"/>
              <w:right w:w="150" w:type="dxa"/>
            </w:tcMar>
          </w:tcPr>
          <w:p>
            <w:pPr>
              <w:jc w:val="center"/>
            </w:pPr>
            <w:r>
              <w:rPr>
                <w:rFonts w:ascii="Arial" w:hAnsi="Arial"/>
                <w:sz w:val="20"/>
              </w:rPr>
              <w:t>[...] giờ</w:t>
            </w:r>
          </w:p>
        </w:tc>
        <w:tc>
          <w:tcPr>
            <w:tcW w:type="dxa" w:w="1987"/>
            <w:tcMar>
              <w:top w:w="100" w:type="dxa"/>
              <w:bottom w:w="100" w:type="dxa"/>
              <w:left w:w="150" w:type="dxa"/>
              <w:right w:w="150" w:type="dxa"/>
            </w:tcMar>
          </w:tcPr>
          <w:p>
            <w:pPr>
              <w:jc w:val="center"/>
            </w:pPr>
            <w:r>
              <w:rPr>
                <w:rFonts w:ascii="Arial" w:hAnsi="Arial"/>
                <w:sz w:val="20"/>
              </w:rPr>
              <w:t>[... ]%</w:t>
            </w:r>
          </w:p>
        </w:tc>
      </w:tr>
      <w:tr>
        <w:tc>
          <w:tcPr>
            <w:tcW w:type="dxa" w:w="1987"/>
            <w:tcMar>
              <w:top w:w="100" w:type="dxa"/>
              <w:bottom w:w="100" w:type="dxa"/>
              <w:left w:w="150" w:type="dxa"/>
              <w:right w:w="150" w:type="dxa"/>
            </w:tcMar>
            <w:shd w:fill="EDF2F7"/>
          </w:tcPr>
          <w:p>
            <w:r>
              <w:rPr>
                <w:rFonts w:ascii="Arial" w:hAnsi="Arial"/>
                <w:b/>
                <w:sz w:val="20"/>
              </w:rPr>
              <w:t>Tổng toàn viện</w:t>
            </w:r>
          </w:p>
        </w:tc>
        <w:tc>
          <w:tcPr>
            <w:tcW w:type="dxa" w:w="1987"/>
            <w:tcMar>
              <w:top w:w="100" w:type="dxa"/>
              <w:bottom w:w="100" w:type="dxa"/>
              <w:left w:w="150" w:type="dxa"/>
              <w:right w:w="150" w:type="dxa"/>
            </w:tcMar>
            <w:shd w:fill="EDF2F7"/>
          </w:tcPr>
          <w:p>
            <w:pPr>
              <w:jc w:val="center"/>
            </w:pPr>
            <w:r>
              <w:rPr>
                <w:rFonts w:ascii="Arial" w:hAnsi="Arial"/>
                <w:b/>
                <w:sz w:val="20"/>
              </w:rPr>
              <w:t>[...]</w:t>
            </w:r>
          </w:p>
        </w:tc>
        <w:tc>
          <w:tcPr>
            <w:tcW w:type="dxa" w:w="1987"/>
            <w:tcMar>
              <w:top w:w="100" w:type="dxa"/>
              <w:bottom w:w="100" w:type="dxa"/>
              <w:left w:w="150" w:type="dxa"/>
              <w:right w:w="150" w:type="dxa"/>
            </w:tcMar>
            <w:shd w:fill="EDF2F7"/>
          </w:tcPr>
          <w:p>
            <w:pPr>
              <w:jc w:val="center"/>
            </w:pPr>
            <w:r>
              <w:rPr>
                <w:rFonts w:ascii="Arial" w:hAnsi="Arial"/>
                <w:b/>
                <w:sz w:val="20"/>
              </w:rPr>
              <w:t>[... ]%</w:t>
            </w:r>
          </w:p>
        </w:tc>
        <w:tc>
          <w:tcPr>
            <w:tcW w:type="dxa" w:w="1987"/>
            <w:tcMar>
              <w:top w:w="100" w:type="dxa"/>
              <w:bottom w:w="100" w:type="dxa"/>
              <w:left w:w="150" w:type="dxa"/>
              <w:right w:w="150" w:type="dxa"/>
            </w:tcMar>
            <w:shd w:fill="EDF2F7"/>
          </w:tcPr>
          <w:p>
            <w:pPr>
              <w:jc w:val="center"/>
            </w:pPr>
            <w:r>
              <w:rPr>
                <w:rFonts w:ascii="Arial" w:hAnsi="Arial"/>
                <w:b/>
                <w:sz w:val="20"/>
              </w:rPr>
              <w:t>[...] ngày</w:t>
            </w:r>
          </w:p>
        </w:tc>
        <w:tc>
          <w:tcPr>
            <w:tcW w:type="dxa" w:w="1987"/>
            <w:tcMar>
              <w:top w:w="100" w:type="dxa"/>
              <w:bottom w:w="100" w:type="dxa"/>
              <w:left w:w="150" w:type="dxa"/>
              <w:right w:w="150" w:type="dxa"/>
            </w:tcMar>
            <w:shd w:fill="EDF2F7"/>
          </w:tcPr>
          <w:p>
            <w:pPr>
              <w:jc w:val="center"/>
            </w:pPr>
            <w:r>
              <w:rPr>
                <w:rFonts w:ascii="Arial" w:hAnsi="Arial"/>
                <w:b/>
                <w:sz w:val="20"/>
              </w:rPr>
              <w:t>[... ]%</w:t>
            </w:r>
          </w:p>
        </w:tc>
      </w:tr>
    </w:tbl>
    <w:p>
      <w:pPr>
        <w:spacing w:after="240"/>
      </w:pPr>
    </w:p>
    <w:p>
      <w:pPr>
        <w:spacing w:after="120"/>
      </w:pPr>
      <w:r>
        <w:rPr>
          <w:rFonts w:ascii="Arial" w:hAnsi="Arial"/>
          <w:b/>
          <w:color w:val="2B6CB0"/>
          <w:sz w:val="24"/>
        </w:rPr>
        <w:t>2.3. Khối Cận lâm sàng (Lab &amp; Imaging)</w:t>
      </w:r>
    </w:p>
    <w:p>
      <w:pPr>
        <w:pStyle w:val="ListBullet"/>
        <w:spacing w:after="80"/>
      </w:pPr>
      <w:r>
        <w:rPr>
          <w:rFonts w:ascii="Arial" w:hAnsi="Arial"/>
          <w:b/>
          <w:sz w:val="22"/>
        </w:rPr>
        <w:t xml:space="preserve">Xét nghiệm: </w:t>
      </w:r>
      <w:r>
        <w:rPr>
          <w:rFonts w:ascii="Arial" w:hAnsi="Arial"/>
          <w:sz w:val="22"/>
        </w:rPr>
        <w:t>Tổng số mẫu thực hiện đạt [...] mẫu (tỷ lệ lỗi/hủy mẫu kiểm soát ở mức [...]%). Thời gian trả kết quả trung bình (Turnaround Time - TAT) là [...] phút.</w:t>
      </w:r>
    </w:p>
    <w:p>
      <w:pPr>
        <w:pStyle w:val="ListBullet"/>
        <w:spacing w:after="80"/>
      </w:pPr>
      <w:r>
        <w:rPr>
          <w:rFonts w:ascii="Arial" w:hAnsi="Arial"/>
          <w:b/>
          <w:sz w:val="22"/>
        </w:rPr>
        <w:t xml:space="preserve">Chẩn đoán hình ảnh: </w:t>
      </w:r>
      <w:r>
        <w:rPr>
          <w:rFonts w:ascii="Arial" w:hAnsi="Arial"/>
          <w:sz w:val="22"/>
        </w:rPr>
        <w:t>Tổng số ca chụp/siêu âm đạt [...] ca. Thời gian chờ chụp X-quang/CT/MRI trung bình ghi nhận là [...] phút, đáp ứng yêu cầu lâm sàng khẩn cấp.</w:t>
      </w:r>
    </w:p>
    <w:p>
      <w:pPr>
        <w:keepNext/>
        <w:spacing w:before="240" w:after="120"/>
      </w:pPr>
      <w:r>
        <w:rPr>
          <w:rFonts w:ascii="Arial" w:hAnsi="Arial"/>
          <w:b/>
          <w:color w:val="0F4C81"/>
          <w:sz w:val="28"/>
        </w:rPr>
        <w:t>3. Đánh giá &amp; Khuyến nghị (Insights &amp; Recommendations)</w:t>
      </w:r>
    </w:p>
    <w:p>
      <w:pPr>
        <w:spacing w:after="80"/>
      </w:pPr>
      <w:r>
        <w:rPr>
          <w:rFonts w:ascii="Arial" w:hAnsi="Arial"/>
          <w:b/>
          <w:color w:val="2B6CB0"/>
          <w:sz w:val="24"/>
        </w:rPr>
        <w:t>3.1. Đánh giá hiệu suất (Insights)</w:t>
      </w:r>
    </w:p>
    <w:p>
      <w:pPr>
        <w:spacing w:after="80"/>
      </w:pPr>
      <w:r>
        <w:rPr>
          <w:rFonts w:ascii="Arial" w:hAnsi="Arial"/>
          <w:b/>
          <w:sz w:val="22"/>
        </w:rPr>
        <w:t>•  Điểm tích cực:</w:t>
      </w:r>
    </w:p>
    <w:p>
      <w:pPr>
        <w:spacing w:after="80"/>
        <w:ind w:left="360"/>
      </w:pPr>
      <w:r>
        <w:rPr>
          <w:rFonts w:ascii="Arial" w:hAnsi="Arial"/>
          <w:sz w:val="22"/>
        </w:rPr>
        <w:t>- Khoa [Tên khoa] duy trì hiệu suất vận hành xuất sắc với chỉ số [...] đạt mục tiêu cam kết.</w:t>
        <w:br/>
        <w:t>- Thời gian trả kết quả khối Cận lâm sàng đã rút ngắn [...]% so với kỳ trước, tăng mức độ hài lòng của người bệnh.</w:t>
      </w:r>
    </w:p>
    <w:p>
      <w:pPr>
        <w:spacing w:after="80"/>
      </w:pPr>
      <w:r>
        <w:rPr>
          <w:rFonts w:ascii="Arial" w:hAnsi="Arial"/>
          <w:b/>
          <w:sz w:val="22"/>
        </w:rPr>
        <w:t>•  Điểm nghẽn vận hành (Bottlenecks):</w:t>
      </w:r>
    </w:p>
    <w:p>
      <w:pPr>
        <w:spacing w:after="160"/>
        <w:ind w:left="360"/>
      </w:pPr>
      <w:r>
        <w:rPr>
          <w:rFonts w:ascii="Arial" w:hAnsi="Arial"/>
          <w:sz w:val="22"/>
        </w:rPr>
        <w:t>- Ghi nhận hiện tượng quá tải cục bộ tại [Khu vực/Khoa] vào khung giờ cao điểm [...], đẩy thời gian chờ khám trung bình lên đến [...] phút.</w:t>
        <w:br/>
        <w:t>- Chỉ số ALOS tại khoa [Tên khoa] hiện ở mức [...] ngày, vượt ngưỡng tiêu chuẩn quy định là [...] ngày, làm giảm tốc độ luân chuyển giường bệnh.</w:t>
      </w:r>
    </w:p>
    <w:p>
      <w:pPr>
        <w:spacing w:after="80"/>
      </w:pPr>
      <w:r>
        <w:rPr>
          <w:rFonts w:ascii="Arial" w:hAnsi="Arial"/>
          <w:b/>
          <w:color w:val="2B6CB0"/>
          <w:sz w:val="24"/>
        </w:rPr>
        <w:t>3.2. Khuyến nghị chiến lược từ Chuyên gia (Recommendations)</w:t>
      </w:r>
    </w:p>
    <w:p>
      <w:pPr>
        <w:spacing w:after="80"/>
      </w:pPr>
      <w:r>
        <w:rPr>
          <w:rFonts w:ascii="Arial" w:hAnsi="Arial"/>
          <w:b/>
          <w:sz w:val="22"/>
        </w:rPr>
        <w:t xml:space="preserve">1. </w:t>
      </w:r>
      <w:r>
        <w:rPr>
          <w:rFonts w:ascii="Arial" w:hAnsi="Arial"/>
          <w:b/>
          <w:sz w:val="22"/>
        </w:rPr>
        <w:t xml:space="preserve">Tối ưu vận hành khu Khám bệnh: </w:t>
      </w:r>
      <w:r>
        <w:rPr>
          <w:rFonts w:ascii="Arial" w:hAnsi="Arial"/>
          <w:sz w:val="22"/>
        </w:rPr>
        <w:t>Cần điều phối linh hoạt thêm [...] bác sĩ và nhân viên điều dưỡng từ các khoa có phụ tải thấp sang hỗ trợ phòng khám số [...] vào khung giờ cao điểm (từ [...] đến [...]) nhằm giảm thiểu ách tắc dòng bệnh nhân.</w:t>
      </w:r>
    </w:p>
    <w:p>
      <w:pPr>
        <w:spacing w:after="80"/>
      </w:pPr>
      <w:r>
        <w:rPr>
          <w:rFonts w:ascii="Arial" w:hAnsi="Arial"/>
          <w:b/>
          <w:sz w:val="22"/>
        </w:rPr>
        <w:t xml:space="preserve">2. </w:t>
      </w:r>
      <w:r>
        <w:rPr>
          <w:rFonts w:ascii="Arial" w:hAnsi="Arial"/>
          <w:b/>
          <w:sz w:val="22"/>
        </w:rPr>
        <w:t xml:space="preserve">Quản lý luồng bệnh nhân Nội trú: </w:t>
      </w:r>
      <w:r>
        <w:rPr>
          <w:rFonts w:ascii="Arial" w:hAnsi="Arial"/>
          <w:sz w:val="22"/>
        </w:rPr>
        <w:t>Đề xuất Ban Giám đốc chỉ đạo rà soát lại phác đồ điều trị tiêu chuẩn và quy trình thủ tục xuất viện tại khoa [Tên khoa] để rút ngắn ALOS về mức mục tiêu [...] ngày, tăng hiệu suất sử dụng giường bệnh.</w:t>
      </w:r>
    </w:p>
    <w:p>
      <w:pPr>
        <w:spacing w:after="80"/>
      </w:pPr>
      <w:r>
        <w:rPr>
          <w:rFonts w:ascii="Arial" w:hAnsi="Arial"/>
          <w:b/>
          <w:sz w:val="22"/>
        </w:rPr>
        <w:t xml:space="preserve">3. </w:t>
      </w:r>
      <w:r>
        <w:rPr>
          <w:rFonts w:ascii="Arial" w:hAnsi="Arial"/>
          <w:b/>
          <w:sz w:val="22"/>
        </w:rPr>
        <w:t xml:space="preserve">Phân bổ nguồn lực hợp lý: </w:t>
      </w:r>
      <w:r>
        <w:rPr>
          <w:rFonts w:ascii="Arial" w:hAnsi="Arial"/>
          <w:sz w:val="22"/>
        </w:rPr>
        <w:t>[Đề xuất cụ thể của chuyên gia dữ liệu về việc đầu tư thiết bị cận lâm sàng, bảo trì máy móc hoặc tái cơ cấu nhân sự căn cứ trên biểu đồ phụ tải và số liệu thực tế].</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