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t>Data Pipeline and Analytics Data Dictionary</w:t>
      </w:r>
    </w:p>
    <w:p>
      <w:pPr>
        <w:spacing w:after="200"/>
      </w:pPr>
      <w:r>
        <w:rPr>
          <w:i/>
          <w:color w:val="51606F"/>
        </w:rPr>
        <w:t>Comprehensive schema definitions and metrics formulas for the merchant business intelligence and analytics pipelines.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Document ID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DOC-DATA-DICT-008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Project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NSC-PLAT</w:t>
            </w:r>
          </w:p>
        </w:tc>
      </w:tr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M-011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1.0</w:t>
            </w:r>
          </w:p>
        </w:tc>
      </w:tr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Updated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2026-07-29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Approved</w:t>
            </w:r>
          </w:p>
        </w:tc>
      </w:tr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Classification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Internal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Access Groups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GRP-DATA, GRP-ALL-STAFF</w:t>
            </w:r>
          </w:p>
        </w:tc>
      </w:tr>
    </w:tbl>
    <w:p/>
    <w:p>
      <w:pPr>
        <w:pStyle w:val="Heading1"/>
      </w:pPr>
      <w:r>
        <w:t>Core Metrics Formulas</w:t>
      </w:r>
    </w:p>
    <w:p>
      <w:pPr>
        <w:pStyle w:val="ListBullet"/>
        <w:spacing w:after="60"/>
      </w:pPr>
      <w:r>
        <w:t>Gross Merchandise Value (GMV): Sum of all captured order totals excluding refunded or voided transactions.</w:t>
      </w:r>
    </w:p>
    <w:p>
      <w:pPr>
        <w:pStyle w:val="ListBullet"/>
        <w:spacing w:after="60"/>
      </w:pPr>
      <w:r>
        <w:t>Checkout Conversion Rate: Total Completed Orders divided by Total Checkout Sessions Created in the observation window.</w:t>
      </w:r>
    </w:p>
    <w:p>
      <w:pPr>
        <w:pStyle w:val="ListBullet"/>
        <w:spacing w:after="60"/>
      </w:pPr>
      <w:r>
        <w:t>Average Order Value (AOV): Total GMV divided by Total Completed Order Count.</w:t>
      </w:r>
    </w:p>
    <w:p>
      <w:pPr>
        <w:pStyle w:val="Heading1"/>
      </w:pPr>
      <w:r>
        <w:t>Data Privacy &amp; Anonymization</w:t>
      </w:r>
    </w:p>
    <w:p>
      <w:pPr>
        <w:pStyle w:val="ListBullet"/>
        <w:spacing w:after="60"/>
      </w:pPr>
      <w:r>
        <w:t>All customer personal data (names, physical addresses, emails) are masked using cryptographic salt hashes in analytics views.</w:t>
      </w:r>
    </w:p>
    <w:p>
      <w:pPr>
        <w:pStyle w:val="ListBullet"/>
        <w:spacing w:after="60"/>
      </w:pPr>
      <w:r>
        <w:t>Merchant queries are strictly scoped by tenant identifier in analytics views.</w:t>
      </w:r>
    </w:p>
    <w:p>
      <w:pPr>
        <w:pStyle w:val="Heading1"/>
      </w:pPr>
      <w:r>
        <w:t>Reference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6324F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Table Name</w:t>
            </w:r>
          </w:p>
        </w:tc>
        <w:tc>
          <w:tcPr>
            <w:tcW w:type="dxa" w:w="2498"/>
            <w:vAlign w:val="center"/>
            <w:shd w:fill="16324F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Grain</w:t>
            </w:r>
          </w:p>
        </w:tc>
        <w:tc>
          <w:tcPr>
            <w:tcW w:type="dxa" w:w="2498"/>
            <w:vAlign w:val="center"/>
            <w:shd w:fill="16324F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Key Fields</w:t>
            </w:r>
          </w:p>
        </w:tc>
        <w:tc>
          <w:tcPr>
            <w:tcW w:type="dxa" w:w="2498"/>
            <w:vAlign w:val="center"/>
            <w:shd w:fill="16324F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Retention Period</w:t>
            </w:r>
          </w:p>
        </w:tc>
      </w:tr>
      <w:tr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fact_orders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One row per order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order_id, merchant_id, gmv_cents, status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7 years (regulatory)</w:t>
            </w:r>
          </w:p>
        </w:tc>
      </w:tr>
      <w:tr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fact_checkout_funnel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One row per session step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session_id, merchant_id, step_name, drop_off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90 days</w:t>
            </w:r>
          </w:p>
        </w:tc>
      </w:tr>
      <w:tr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dim_merchants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One row per merchant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merchant_id, name, tier, onboarded_date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Indefinite</w:t>
            </w:r>
          </w:p>
        </w:tc>
      </w:tr>
      <w:tr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fact_payment_events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One row per gateway event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event_id, provider_ref, amount, success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3 years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97784"/>
        <w:sz w:val="16"/>
      </w:rPr>
      <w:t>Synthetic demo material  •  DOC-DATA-DICT-008  • 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97784"/>
        <w:sz w:val="16"/>
      </w:rPr>
      <w:t>NORTHSTAR COMMERCE SYSTEMS   /   SYNTHETIC ENTERPRISE DATASET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3303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32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632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2026-10-12T00:00:00Z</dcterms:created>
  <dcterms:modified xsi:type="dcterms:W3CDTF">2026-10-12T00:00:00Z</dcterms:modified>
  <cp:category/>
</cp:coreProperties>
</file>