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Commerce Platform Architecture Overview</w:t>
      </w:r>
    </w:p>
    <w:p>
      <w:pPr>
        <w:spacing w:after="200"/>
      </w:pPr>
      <w:r>
        <w:rPr>
          <w:i/>
          <w:color w:val="51606F"/>
        </w:rPr>
        <w:t>Service boundaries, multi-tenant database isolation, and asynchronous event bus architecture for the fictional commerce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DOC-ARCH-PLAT-001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NSC-PLAT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M-009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2.0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2026-08-28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GRP-ALL-STAFF</w:t>
            </w:r>
          </w:p>
        </w:tc>
      </w:tr>
    </w:tbl>
    <w:p/>
    <w:p>
      <w:pPr>
        <w:pStyle w:val="Heading1"/>
      </w:pPr>
      <w:r>
        <w:t>System Context</w:t>
      </w:r>
    </w:p>
    <w:p>
      <w:pPr>
        <w:pStyle w:val="ListBullet"/>
        <w:spacing w:after="60"/>
      </w:pPr>
      <w:r>
        <w:t>Storefront and merchant administration surfaces access the Commerce API Gateway, which resolves tenant context before delegating to downstream services.</w:t>
      </w:r>
    </w:p>
    <w:p>
      <w:pPr>
        <w:pStyle w:val="ListBullet"/>
        <w:spacing w:after="60"/>
      </w:pPr>
      <w:r>
        <w:t>The fictional stack utilizes modular Laravel domain packages, Vue.js single-page administration interfaces, Redis queue workers, and PostgreSQL schemas.</w:t>
      </w:r>
    </w:p>
    <w:p>
      <w:pPr>
        <w:pStyle w:val="Heading1"/>
      </w:pPr>
      <w:r>
        <w:t>Service Boundaries</w:t>
      </w:r>
    </w:p>
    <w:p>
      <w:pPr>
        <w:pStyle w:val="ListBullet"/>
        <w:spacing w:after="60"/>
      </w:pPr>
      <w:r>
        <w:t>Catalog Service owns product variants, merchandising taxonomies, and price books scoped strictly by merchant ID.</w:t>
      </w:r>
    </w:p>
    <w:p>
      <w:pPr>
        <w:pStyle w:val="ListBullet"/>
        <w:spacing w:after="60"/>
      </w:pPr>
      <w:r>
        <w:t>Search &amp; Discovery executes tenant-isolated queries against Elasticsearch clusters, applying merchant access filters prior to text ranking.</w:t>
      </w:r>
    </w:p>
    <w:p>
      <w:pPr>
        <w:pStyle w:val="ListBullet"/>
        <w:spacing w:after="60"/>
      </w:pPr>
      <w:r>
        <w:t>Checkout Service coordinates cart conversions, tax computation, stock reservations, and payment sessions with idempotent guarantees.</w:t>
      </w:r>
    </w:p>
    <w:p>
      <w:pPr>
        <w:pStyle w:val="ListBullet"/>
        <w:spacing w:after="60"/>
      </w:pPr>
      <w:r>
        <w:t>Orders Service encapsulates state machines for authorizations, captures, shipments, cancellations, and return merchandise authorizations.</w:t>
      </w:r>
    </w:p>
    <w:p>
      <w:pPr>
        <w:pStyle w:val="Heading1"/>
      </w:pPr>
      <w:r>
        <w:t>Core Architecture Invariants</w:t>
      </w:r>
    </w:p>
    <w:p>
      <w:pPr>
        <w:pStyle w:val="ListBullet"/>
        <w:spacing w:after="60"/>
      </w:pPr>
      <w:r>
        <w:t>All mutating external HTTP requests must include a durable Idempotency-Key retained for at least 72 hours.</w:t>
      </w:r>
    </w:p>
    <w:p>
      <w:pPr>
        <w:pStyle w:val="ListBullet"/>
        <w:spacing w:after="60"/>
      </w:pPr>
      <w:r>
        <w:t>Event consumers must deduplicate messages using durable provider event inbox tables with unique constraints.</w:t>
      </w:r>
    </w:p>
    <w:p>
      <w:pPr>
        <w:pStyle w:val="ListBullet"/>
        <w:spacing w:after="60"/>
      </w:pPr>
      <w:r>
        <w:t>Direct cross-tenant database joins or queries without an explicit tenant_id filter are strictly forbidden by gateway middleware.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Service Domain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Primary Entity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Isolation Mechanism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Audit Requirement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Catalog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Products &amp; Variants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Tenant-scoped SKU &amp; Attribute Groups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Full change history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Checkout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Checkout Sessions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Durable idempotency key (72h TTL)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Session state transitions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Payments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Payment Intents &amp; Webhooks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Durable inbox deduplication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Raw payload &amp; response hash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Orders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Orders &amp; Returns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Cryptographic state transition chain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Financial audit ledger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Platform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Tenants &amp; Access Groups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Row-level tenant isolation middleware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Security access log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DOC-ARCH-PLAT-001  • 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