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Biên Bản Đánh Giá Tác Động &amp; Quyết Định Yêu Cầu Thay Đổi CR-2026-08 (Nghỉ Bù Tăng Ca)</w:t>
      </w:r>
    </w:p>
    <w:p>
      <w:pPr>
        <w:spacing w:after="200"/>
      </w:pPr>
      <w:r>
        <w:rPr>
          <w:i/>
          <w:color w:val="475569"/>
        </w:rPr>
        <w:t>Tài liệu quản trị thay đổi Waterfall chốt việc tách CR-2026-08: duyệt xuất CSV đối soát ở Phase 1, hoãn sổ cái tự động nghỉ bù sang Phase 2.</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E4E68"/>
          </w:tcPr>
          <w:p>
            <w:r/>
            <w:r>
              <w:rPr>
                <w:rFonts w:ascii="Aptos" w:hAnsi="Aptos"/>
                <w:b/>
                <w:color w:val="FFFFFF"/>
                <w:sz w:val="17"/>
              </w:rPr>
              <w:t>Document ID</w:t>
            </w:r>
          </w:p>
        </w:tc>
        <w:tc>
          <w:tcPr>
            <w:tcW w:type="dxa" w:w="2520"/>
            <w:vAlign w:val="center"/>
            <w:shd w:fill="F1F5F9"/>
          </w:tcPr>
          <w:p>
            <w:r/>
            <w:r>
              <w:rPr>
                <w:rFonts w:ascii="Aptos" w:hAnsi="Aptos"/>
                <w:b w:val="0"/>
                <w:color w:val="1E293B"/>
                <w:sz w:val="17"/>
              </w:rPr>
              <w:t>DOC-NVDMG-CR-003</w:t>
            </w:r>
          </w:p>
        </w:tc>
        <w:tc>
          <w:tcPr>
            <w:tcW w:type="dxa" w:w="2520"/>
            <w:vAlign w:val="center"/>
            <w:shd w:fill="1E4E68"/>
          </w:tcPr>
          <w:p>
            <w:r/>
            <w:r>
              <w:rPr>
                <w:rFonts w:ascii="Aptos" w:hAnsi="Aptos"/>
                <w:b/>
                <w:color w:val="FFFFFF"/>
                <w:sz w:val="17"/>
              </w:rPr>
              <w:t>Project</w:t>
            </w:r>
          </w:p>
        </w:tc>
        <w:tc>
          <w:tcPr>
            <w:tcW w:type="dxa" w:w="2520"/>
            <w:vAlign w:val="center"/>
            <w:shd w:fill="F1F5F9"/>
          </w:tcPr>
          <w:p>
            <w:r/>
            <w:r>
              <w:rPr>
                <w:rFonts w:ascii="Aptos" w:hAnsi="Aptos"/>
                <w:b w:val="0"/>
                <w:color w:val="1E293B"/>
                <w:sz w:val="17"/>
              </w:rPr>
              <w:t>NOVA-DMG</w:t>
            </w:r>
          </w:p>
        </w:tc>
      </w:tr>
      <w:tr>
        <w:tc>
          <w:tcPr>
            <w:tcW w:type="dxa" w:w="2520"/>
            <w:vAlign w:val="center"/>
            <w:shd w:fill="1E4E68"/>
          </w:tcPr>
          <w:p>
            <w:r/>
            <w:r>
              <w:rPr>
                <w:rFonts w:ascii="Aptos" w:hAnsi="Aptos"/>
                <w:b/>
                <w:color w:val="FFFFFF"/>
                <w:sz w:val="17"/>
              </w:rPr>
              <w:t>Document Type</w:t>
            </w:r>
          </w:p>
        </w:tc>
        <w:tc>
          <w:tcPr>
            <w:tcW w:type="dxa" w:w="2520"/>
            <w:vAlign w:val="center"/>
            <w:shd w:fill="F1F5F9"/>
          </w:tcPr>
          <w:p>
            <w:r/>
            <w:r>
              <w:rPr>
                <w:rFonts w:ascii="Aptos" w:hAnsi="Aptos"/>
                <w:b w:val="0"/>
                <w:color w:val="1E293B"/>
                <w:sz w:val="17"/>
              </w:rPr>
              <w:t>REQUIREMENT</w:t>
            </w:r>
          </w:p>
        </w:tc>
        <w:tc>
          <w:tcPr>
            <w:tcW w:type="dxa" w:w="2520"/>
            <w:vAlign w:val="center"/>
            <w:shd w:fill="1E4E68"/>
          </w:tcPr>
          <w:p>
            <w:r/>
            <w:r>
              <w:rPr>
                <w:rFonts w:ascii="Aptos" w:hAnsi="Aptos"/>
                <w:b/>
                <w:color w:val="FFFFFF"/>
                <w:sz w:val="17"/>
              </w:rPr>
              <w:t>Snapshot Status</w:t>
            </w:r>
          </w:p>
        </w:tc>
        <w:tc>
          <w:tcPr>
            <w:tcW w:type="dxa" w:w="2520"/>
            <w:vAlign w:val="center"/>
            <w:shd w:fill="F1F5F9"/>
          </w:tcPr>
          <w:p>
            <w:r/>
            <w:r>
              <w:rPr>
                <w:rFonts w:ascii="Aptos" w:hAnsi="Aptos"/>
                <w:b w:val="0"/>
                <w:color w:val="1E293B"/>
                <w:sz w:val="17"/>
              </w:rPr>
              <w:t>APPROVED</w:t>
            </w:r>
          </w:p>
        </w:tc>
      </w:tr>
      <w:tr>
        <w:tc>
          <w:tcPr>
            <w:tcW w:type="dxa" w:w="2520"/>
            <w:vAlign w:val="center"/>
            <w:shd w:fill="1E4E68"/>
          </w:tcPr>
          <w:p>
            <w:r/>
            <w:r>
              <w:rPr>
                <w:rFonts w:ascii="Aptos" w:hAnsi="Aptos"/>
                <w:b/>
                <w:color w:val="FFFFFF"/>
                <w:sz w:val="17"/>
              </w:rPr>
              <w:t>Owner</w:t>
            </w:r>
          </w:p>
        </w:tc>
        <w:tc>
          <w:tcPr>
            <w:tcW w:type="dxa" w:w="2520"/>
            <w:vAlign w:val="center"/>
            <w:shd w:fill="F1F5F9"/>
          </w:tcPr>
          <w:p>
            <w:r/>
            <w:r>
              <w:rPr>
                <w:rFonts w:ascii="Aptos" w:hAnsi="Aptos"/>
                <w:b w:val="0"/>
                <w:color w:val="1E293B"/>
                <w:sz w:val="17"/>
              </w:rPr>
              <w:t>NV-U07</w:t>
            </w:r>
          </w:p>
        </w:tc>
        <w:tc>
          <w:tcPr>
            <w:tcW w:type="dxa" w:w="2520"/>
            <w:vAlign w:val="center"/>
            <w:shd w:fill="1E4E68"/>
          </w:tcPr>
          <w:p>
            <w:r/>
            <w:r>
              <w:rPr>
                <w:rFonts w:ascii="Aptos" w:hAnsi="Aptos"/>
                <w:b/>
                <w:color w:val="FFFFFF"/>
                <w:sz w:val="17"/>
              </w:rPr>
              <w:t>Displayed Version</w:t>
            </w:r>
          </w:p>
        </w:tc>
        <w:tc>
          <w:tcPr>
            <w:tcW w:type="dxa" w:w="2520"/>
            <w:vAlign w:val="center"/>
            <w:shd w:fill="F1F5F9"/>
          </w:tcPr>
          <w:p>
            <w:r/>
            <w:r>
              <w:rPr>
                <w:rFonts w:ascii="Aptos" w:hAnsi="Aptos"/>
                <w:b w:val="0"/>
                <w:color w:val="1E293B"/>
                <w:sz w:val="17"/>
              </w:rPr>
              <w:t>v1 (APPROVED)</w:t>
            </w:r>
          </w:p>
        </w:tc>
      </w:tr>
      <w:tr>
        <w:tc>
          <w:tcPr>
            <w:tcW w:type="dxa" w:w="2520"/>
            <w:vAlign w:val="center"/>
            <w:shd w:fill="1E4E68"/>
          </w:tcPr>
          <w:p>
            <w:r/>
            <w:r>
              <w:rPr>
                <w:rFonts w:ascii="Aptos" w:hAnsi="Aptos"/>
                <w:b/>
                <w:color w:val="FFFFFF"/>
                <w:sz w:val="17"/>
              </w:rPr>
              <w:t>Organization</w:t>
            </w:r>
          </w:p>
        </w:tc>
        <w:tc>
          <w:tcPr>
            <w:tcW w:type="dxa" w:w="2520"/>
            <w:vAlign w:val="center"/>
            <w:shd w:fill="F1F5F9"/>
          </w:tcPr>
          <w:p>
            <w:r/>
            <w:r>
              <w:rPr>
                <w:rFonts w:ascii="Aptos" w:hAnsi="Aptos"/>
                <w:b w:val="0"/>
                <w:color w:val="1E293B"/>
                <w:sz w:val="17"/>
              </w:rPr>
              <w:t>ORG-NOVA</w:t>
            </w:r>
          </w:p>
        </w:tc>
        <w:tc>
          <w:tcPr>
            <w:tcW w:type="dxa" w:w="2520"/>
            <w:vAlign w:val="center"/>
            <w:shd w:fill="1E4E68"/>
          </w:tcPr>
          <w:p>
            <w:r/>
            <w:r>
              <w:rPr>
                <w:rFonts w:ascii="Aptos" w:hAnsi="Aptos"/>
                <w:b/>
                <w:color w:val="FFFFFF"/>
                <w:sz w:val="17"/>
              </w:rPr>
              <w:t>Synthetic Scope</w:t>
            </w:r>
          </w:p>
        </w:tc>
        <w:tc>
          <w:tcPr>
            <w:tcW w:type="dxa" w:w="2520"/>
            <w:vAlign w:val="center"/>
            <w:shd w:fill="F1F5F9"/>
          </w:tcPr>
          <w:p>
            <w:r/>
            <w:r>
              <w:rPr>
                <w:rFonts w:ascii="Aptos" w:hAnsi="Aptos"/>
                <w:b w:val="0"/>
                <w:color w:val="1E293B"/>
                <w:sz w:val="17"/>
              </w:rPr>
              <w:t>100% Synthetic Benchmark</w:t>
            </w:r>
          </w:p>
        </w:tc>
      </w:tr>
    </w:tbl>
    <w:p/>
    <w:p>
      <w:pPr>
        <w:pStyle w:val="Heading1"/>
      </w:pPr>
      <w:r>
        <w:t>Bối Cảnh Đề Xuất Của Khách Hàng</w:t>
      </w:r>
    </w:p>
    <w:p>
      <w:pPr>
        <w:pStyle w:val="ListBullet"/>
        <w:spacing w:after="60"/>
      </w:pPr>
      <w:r>
        <w:t>Ngày 21/09/2026 (giữa giai đoạn UAT), Giám đốc Nhân sự Minh Phát đề xuất thêm quy chế quy đổi giờ tăng ca cuối tuần thành quỹ nghỉ bù tự động hết hạn sau 90 ngày.</w:t>
      </w:r>
    </w:p>
    <w:p>
      <w:pPr>
        <w:pStyle w:val="Heading1"/>
      </w:pPr>
      <w:r>
        <w:t>Phân Tích Tác Động Waterfall</w:t>
      </w:r>
    </w:p>
    <w:p>
      <w:pPr>
        <w:pStyle w:val="ListBullet"/>
        <w:spacing w:after="60"/>
      </w:pPr>
      <w:r>
        <w:t>Nếu đưa toàn bộ bộ máy tự động tính/trừ/hết hạn nghỉ bù vào Phase 1 sẽ phải thiết kế lại bảng leave_entitlements vừa chốt và làm trễ mốc Go-Live 30/10/2026 ít nhất 3 tuần.</w:t>
      </w:r>
    </w:p>
    <w:p>
      <w:pPr>
        <w:pStyle w:val="Heading1"/>
      </w:pPr>
      <w:r>
        <w:t>Quyết Định Chính Thức Của CCB</w:t>
      </w:r>
    </w:p>
    <w:p>
      <w:pPr>
        <w:pStyle w:val="ListBullet"/>
        <w:spacing w:after="60"/>
      </w:pPr>
      <w:r>
        <w:t>Hạng mục được duyệt vào Phase 1: Bổ sung API và nút xuất CSV đối soát giờ tăng ca hợp lệ (task NVATD-27, tài liệu DOC-NVATD-API-003 v2).</w:t>
      </w:r>
    </w:p>
    <w:p>
      <w:pPr>
        <w:pStyle w:val="ListBullet"/>
        <w:spacing w:after="60"/>
      </w:pPr>
      <w:r>
        <w:t>Hạng mục hoãn sang Phase 2: Sổ cái tự động cộng/trừ và hết hạn quỹ nghỉ bù (task NVLEV-29 chuyển trạng thái CANCELLED ở Phase 1).</w:t>
      </w:r>
    </w:p>
    <w:p>
      <w:pPr>
        <w:pStyle w:val="Heading1"/>
      </w:pPr>
      <w:r>
        <w:t>Bảng Tham Chiếu / Specification Matrix</w:t>
      </w:r>
    </w:p>
    <w:tbl>
      <w:tblPr>
        <w:tblW w:type="auto" w:w="0"/>
        <w:jc w:val="center"/>
        <w:tblLook w:firstColumn="1" w:firstRow="1" w:lastColumn="0" w:lastRow="0" w:noHBand="0" w:noVBand="1" w:val="04A0"/>
      </w:tblPr>
      <w:tblGrid>
        <w:gridCol w:w="3360"/>
        <w:gridCol w:w="3360"/>
        <w:gridCol w:w="3360"/>
      </w:tblGrid>
      <w:tr>
        <w:tc>
          <w:tcPr>
            <w:tcW w:type="dxa" w:w="3360"/>
            <w:vAlign w:val="center"/>
            <w:shd w:fill="0F2942"/>
          </w:tcPr>
          <w:p>
            <w:r/>
            <w:r>
              <w:rPr>
                <w:rFonts w:ascii="Aptos" w:hAnsi="Aptos"/>
                <w:b/>
                <w:color w:val="FFFFFF"/>
                <w:sz w:val="17"/>
              </w:rPr>
              <w:t>Hạng Mục Trong CR-2026-08</w:t>
            </w:r>
          </w:p>
        </w:tc>
        <w:tc>
          <w:tcPr>
            <w:tcW w:type="dxa" w:w="3360"/>
            <w:vAlign w:val="center"/>
            <w:shd w:fill="0F2942"/>
          </w:tcPr>
          <w:p>
            <w:r/>
            <w:r>
              <w:rPr>
                <w:rFonts w:ascii="Aptos" w:hAnsi="Aptos"/>
                <w:b/>
                <w:color w:val="FFFFFF"/>
                <w:sz w:val="17"/>
              </w:rPr>
              <w:t>Quyết Định CCB</w:t>
            </w:r>
          </w:p>
        </w:tc>
        <w:tc>
          <w:tcPr>
            <w:tcW w:type="dxa" w:w="3360"/>
            <w:vAlign w:val="center"/>
            <w:shd w:fill="0F2942"/>
          </w:tcPr>
          <w:p>
            <w:r/>
            <w:r>
              <w:rPr>
                <w:rFonts w:ascii="Aptos" w:hAnsi="Aptos"/>
                <w:b/>
                <w:color w:val="FFFFFF"/>
                <w:sz w:val="17"/>
              </w:rPr>
              <w:t>Mã Task Liên Quan</w:t>
            </w:r>
          </w:p>
        </w:tc>
      </w:tr>
      <w:tr>
        <w:tc>
          <w:tcPr>
            <w:tcW w:type="dxa" w:w="3360"/>
            <w:vAlign w:val="center"/>
            <w:shd w:fill="FFFFFF"/>
          </w:tcPr>
          <w:p>
            <w:r/>
            <w:r>
              <w:rPr>
                <w:rFonts w:ascii="Aptos" w:hAnsi="Aptos"/>
                <w:b w:val="0"/>
                <w:color w:val="1E293B"/>
                <w:sz w:val="17"/>
              </w:rPr>
              <w:t>Xuất CSV đối soát giờ OT đủ điều kiện nghỉ bù</w:t>
            </w:r>
          </w:p>
        </w:tc>
        <w:tc>
          <w:tcPr>
            <w:tcW w:type="dxa" w:w="3360"/>
            <w:vAlign w:val="center"/>
            <w:shd w:fill="FFFFFF"/>
          </w:tcPr>
          <w:p>
            <w:r/>
            <w:r>
              <w:rPr>
                <w:rFonts w:ascii="Aptos" w:hAnsi="Aptos"/>
                <w:b w:val="0"/>
                <w:color w:val="1E293B"/>
                <w:sz w:val="17"/>
              </w:rPr>
              <w:t>DUYỆT LÀM TRONG PHASE 1</w:t>
            </w:r>
          </w:p>
        </w:tc>
        <w:tc>
          <w:tcPr>
            <w:tcW w:type="dxa" w:w="3360"/>
            <w:vAlign w:val="center"/>
            <w:shd w:fill="FFFFFF"/>
          </w:tcPr>
          <w:p>
            <w:r/>
            <w:r>
              <w:rPr>
                <w:rFonts w:ascii="Aptos" w:hAnsi="Aptos"/>
                <w:b w:val="0"/>
                <w:color w:val="1E293B"/>
                <w:sz w:val="17"/>
              </w:rPr>
              <w:t>NVATD-27 (DONE)</w:t>
            </w:r>
          </w:p>
        </w:tc>
      </w:tr>
      <w:tr>
        <w:tc>
          <w:tcPr>
            <w:tcW w:type="dxa" w:w="3360"/>
            <w:vAlign w:val="center"/>
            <w:shd w:fill="F8FAFC"/>
          </w:tcPr>
          <w:p>
            <w:r/>
            <w:r>
              <w:rPr>
                <w:rFonts w:ascii="Aptos" w:hAnsi="Aptos"/>
                <w:b w:val="0"/>
                <w:color w:val="1E293B"/>
                <w:sz w:val="17"/>
              </w:rPr>
              <w:t>Tự động quy đổi &amp; hết hạn 90 ngày quỹ nghỉ bù</w:t>
            </w:r>
          </w:p>
        </w:tc>
        <w:tc>
          <w:tcPr>
            <w:tcW w:type="dxa" w:w="3360"/>
            <w:vAlign w:val="center"/>
            <w:shd w:fill="F8FAFC"/>
          </w:tcPr>
          <w:p>
            <w:r/>
            <w:r>
              <w:rPr>
                <w:rFonts w:ascii="Aptos" w:hAnsi="Aptos"/>
                <w:b w:val="0"/>
                <w:color w:val="1E293B"/>
                <w:sz w:val="17"/>
              </w:rPr>
              <w:t>HOÃN SANG HỢP ĐỒNG PHASE 2</w:t>
            </w:r>
          </w:p>
        </w:tc>
        <w:tc>
          <w:tcPr>
            <w:tcW w:type="dxa" w:w="3360"/>
            <w:vAlign w:val="center"/>
            <w:shd w:fill="F8FAFC"/>
          </w:tcPr>
          <w:p>
            <w:r/>
            <w:r>
              <w:rPr>
                <w:rFonts w:ascii="Aptos" w:hAnsi="Aptos"/>
                <w:b w:val="0"/>
                <w:color w:val="1E293B"/>
                <w:sz w:val="17"/>
              </w:rPr>
              <w:t>NVLEV-29 (CANCELLED)</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100% Synthetic Project Document  •  DOC-NVDMG-CR-003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NOVA SOLUTIONS  •  WATERFALL HRMS DELIVERY   |   SYNTHETIC CONTINUUM BENCHMARK ARTIFACT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294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294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2026-10-16T00:00:00Z</dcterms:created>
  <dcterms:modified xsi:type="dcterms:W3CDTF">2026-10-16T00:00:00Z</dcterms:modified>
  <cp:category/>
</cp:coreProperties>
</file>