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Thiết Kế Cơ Sở Dữ Liệu Nghỉ Phép Chuẩn Hóa v2.0 (Sổ Cái Bút Toán NUMERIC(5,2) Cho Nửa Ngày)</w:t>
      </w:r>
    </w:p>
    <w:p>
      <w:pPr>
        <w:spacing w:after="200"/>
      </w:pPr>
      <w:r>
        <w:rPr>
          <w:i/>
          <w:color w:val="475569"/>
        </w:rPr>
        <w:t>Bản thiết kế chính thức thay thế DOC-NVLEV-DB-001-LEGACY để khắc phục triệt để lỗi hoàn thừa 0.5 ngày phép khi hủy đơn một phần trong UAT.</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E4E68"/>
          </w:tcPr>
          <w:p>
            <w:r/>
            <w:r>
              <w:rPr>
                <w:rFonts w:ascii="Aptos" w:hAnsi="Aptos"/>
                <w:b/>
                <w:color w:val="FFFFFF"/>
                <w:sz w:val="17"/>
              </w:rPr>
              <w:t>Document ID</w:t>
            </w:r>
          </w:p>
        </w:tc>
        <w:tc>
          <w:tcPr>
            <w:tcW w:type="dxa" w:w="2520"/>
            <w:vAlign w:val="center"/>
            <w:shd w:fill="F1F5F9"/>
          </w:tcPr>
          <w:p>
            <w:r/>
            <w:r>
              <w:rPr>
                <w:rFonts w:ascii="Aptos" w:hAnsi="Aptos"/>
                <w:b w:val="0"/>
                <w:color w:val="1E293B"/>
                <w:sz w:val="17"/>
              </w:rPr>
              <w:t>DOC-NVLEV-DB-002</w:t>
            </w:r>
          </w:p>
        </w:tc>
        <w:tc>
          <w:tcPr>
            <w:tcW w:type="dxa" w:w="2520"/>
            <w:vAlign w:val="center"/>
            <w:shd w:fill="1E4E68"/>
          </w:tcPr>
          <w:p>
            <w:r/>
            <w:r>
              <w:rPr>
                <w:rFonts w:ascii="Aptos" w:hAnsi="Aptos"/>
                <w:b/>
                <w:color w:val="FFFFFF"/>
                <w:sz w:val="17"/>
              </w:rPr>
              <w:t>Project</w:t>
            </w:r>
          </w:p>
        </w:tc>
        <w:tc>
          <w:tcPr>
            <w:tcW w:type="dxa" w:w="2520"/>
            <w:vAlign w:val="center"/>
            <w:shd w:fill="F1F5F9"/>
          </w:tcPr>
          <w:p>
            <w:r/>
            <w:r>
              <w:rPr>
                <w:rFonts w:ascii="Aptos" w:hAnsi="Aptos"/>
                <w:b w:val="0"/>
                <w:color w:val="1E293B"/>
                <w:sz w:val="17"/>
              </w:rPr>
              <w:t>NOVA-LEV</w:t>
            </w:r>
          </w:p>
        </w:tc>
      </w:tr>
      <w:tr>
        <w:tc>
          <w:tcPr>
            <w:tcW w:type="dxa" w:w="2520"/>
            <w:vAlign w:val="center"/>
            <w:shd w:fill="1E4E68"/>
          </w:tcPr>
          <w:p>
            <w:r/>
            <w:r>
              <w:rPr>
                <w:rFonts w:ascii="Aptos" w:hAnsi="Aptos"/>
                <w:b/>
                <w:color w:val="FFFFFF"/>
                <w:sz w:val="17"/>
              </w:rPr>
              <w:t>Document Type</w:t>
            </w:r>
          </w:p>
        </w:tc>
        <w:tc>
          <w:tcPr>
            <w:tcW w:type="dxa" w:w="2520"/>
            <w:vAlign w:val="center"/>
            <w:shd w:fill="F1F5F9"/>
          </w:tcPr>
          <w:p>
            <w:r/>
            <w:r>
              <w:rPr>
                <w:rFonts w:ascii="Aptos" w:hAnsi="Aptos"/>
                <w:b w:val="0"/>
                <w:color w:val="1E293B"/>
                <w:sz w:val="17"/>
              </w:rPr>
              <w:t>DATABASE_DESIGN</w:t>
            </w:r>
          </w:p>
        </w:tc>
        <w:tc>
          <w:tcPr>
            <w:tcW w:type="dxa" w:w="2520"/>
            <w:vAlign w:val="center"/>
            <w:shd w:fill="1E4E68"/>
          </w:tcPr>
          <w:p>
            <w:r/>
            <w:r>
              <w:rPr>
                <w:rFonts w:ascii="Aptos" w:hAnsi="Aptos"/>
                <w:b/>
                <w:color w:val="FFFFFF"/>
                <w:sz w:val="17"/>
              </w:rPr>
              <w:t>Snapshot Status</w:t>
            </w:r>
          </w:p>
        </w:tc>
        <w:tc>
          <w:tcPr>
            <w:tcW w:type="dxa" w:w="2520"/>
            <w:vAlign w:val="center"/>
            <w:shd w:fill="F1F5F9"/>
          </w:tcPr>
          <w:p>
            <w:r/>
            <w:r>
              <w:rPr>
                <w:rFonts w:ascii="Aptos" w:hAnsi="Aptos"/>
                <w:b w:val="0"/>
                <w:color w:val="1E293B"/>
                <w:sz w:val="17"/>
              </w:rPr>
              <w:t>APPROVED</w:t>
            </w:r>
          </w:p>
        </w:tc>
      </w:tr>
      <w:tr>
        <w:tc>
          <w:tcPr>
            <w:tcW w:type="dxa" w:w="2520"/>
            <w:vAlign w:val="center"/>
            <w:shd w:fill="1E4E68"/>
          </w:tcPr>
          <w:p>
            <w:r/>
            <w:r>
              <w:rPr>
                <w:rFonts w:ascii="Aptos" w:hAnsi="Aptos"/>
                <w:b/>
                <w:color w:val="FFFFFF"/>
                <w:sz w:val="17"/>
              </w:rPr>
              <w:t>Owner</w:t>
            </w:r>
          </w:p>
        </w:tc>
        <w:tc>
          <w:tcPr>
            <w:tcW w:type="dxa" w:w="2520"/>
            <w:vAlign w:val="center"/>
            <w:shd w:fill="F1F5F9"/>
          </w:tcPr>
          <w:p>
            <w:r/>
            <w:r>
              <w:rPr>
                <w:rFonts w:ascii="Aptos" w:hAnsi="Aptos"/>
                <w:b w:val="0"/>
                <w:color w:val="1E293B"/>
                <w:sz w:val="17"/>
              </w:rPr>
              <w:t>NV-U12</w:t>
            </w:r>
          </w:p>
        </w:tc>
        <w:tc>
          <w:tcPr>
            <w:tcW w:type="dxa" w:w="2520"/>
            <w:vAlign w:val="center"/>
            <w:shd w:fill="1E4E68"/>
          </w:tcPr>
          <w:p>
            <w:r/>
            <w:r>
              <w:rPr>
                <w:rFonts w:ascii="Aptos" w:hAnsi="Aptos"/>
                <w:b/>
                <w:color w:val="FFFFFF"/>
                <w:sz w:val="17"/>
              </w:rPr>
              <w:t>Displayed Version</w:t>
            </w:r>
          </w:p>
        </w:tc>
        <w:tc>
          <w:tcPr>
            <w:tcW w:type="dxa" w:w="2520"/>
            <w:vAlign w:val="center"/>
            <w:shd w:fill="F1F5F9"/>
          </w:tcPr>
          <w:p>
            <w:r/>
            <w:r>
              <w:rPr>
                <w:rFonts w:ascii="Aptos" w:hAnsi="Aptos"/>
                <w:b w:val="0"/>
                <w:color w:val="1E293B"/>
                <w:sz w:val="17"/>
              </w:rPr>
              <w:t>v2 (APPROVED)</w:t>
            </w:r>
          </w:p>
        </w:tc>
      </w:tr>
      <w:tr>
        <w:tc>
          <w:tcPr>
            <w:tcW w:type="dxa" w:w="2520"/>
            <w:vAlign w:val="center"/>
            <w:shd w:fill="1E4E68"/>
          </w:tcPr>
          <w:p>
            <w:r/>
            <w:r>
              <w:rPr>
                <w:rFonts w:ascii="Aptos" w:hAnsi="Aptos"/>
                <w:b/>
                <w:color w:val="FFFFFF"/>
                <w:sz w:val="17"/>
              </w:rPr>
              <w:t>Organization</w:t>
            </w:r>
          </w:p>
        </w:tc>
        <w:tc>
          <w:tcPr>
            <w:tcW w:type="dxa" w:w="2520"/>
            <w:vAlign w:val="center"/>
            <w:shd w:fill="F1F5F9"/>
          </w:tcPr>
          <w:p>
            <w:r/>
            <w:r>
              <w:rPr>
                <w:rFonts w:ascii="Aptos" w:hAnsi="Aptos"/>
                <w:b w:val="0"/>
                <w:color w:val="1E293B"/>
                <w:sz w:val="17"/>
              </w:rPr>
              <w:t>ORG-NOVA</w:t>
            </w:r>
          </w:p>
        </w:tc>
        <w:tc>
          <w:tcPr>
            <w:tcW w:type="dxa" w:w="2520"/>
            <w:vAlign w:val="center"/>
            <w:shd w:fill="1E4E68"/>
          </w:tcPr>
          <w:p>
            <w:r/>
            <w:r>
              <w:rPr>
                <w:rFonts w:ascii="Aptos" w:hAnsi="Aptos"/>
                <w:b/>
                <w:color w:val="FFFFFF"/>
                <w:sz w:val="17"/>
              </w:rPr>
              <w:t>Synthetic Scope</w:t>
            </w:r>
          </w:p>
        </w:tc>
        <w:tc>
          <w:tcPr>
            <w:tcW w:type="dxa" w:w="2520"/>
            <w:vAlign w:val="center"/>
            <w:shd w:fill="F1F5F9"/>
          </w:tcPr>
          <w:p>
            <w:r/>
            <w:r>
              <w:rPr>
                <w:rFonts w:ascii="Aptos" w:hAnsi="Aptos"/>
                <w:b w:val="0"/>
                <w:color w:val="1E293B"/>
                <w:sz w:val="17"/>
              </w:rPr>
              <w:t>100% Synthetic Benchmark</w:t>
            </w:r>
          </w:p>
        </w:tc>
      </w:tr>
    </w:tbl>
    <w:p/>
    <w:p>
      <w:pPr>
        <w:pStyle w:val="Heading1"/>
      </w:pPr>
      <w:r>
        <w:t>Nguyên Nhân Gốc Lỗi UAT Hủy Phép Nửa Ngày</w:t>
      </w:r>
    </w:p>
    <w:p>
      <w:pPr>
        <w:pStyle w:val="ListBullet"/>
        <w:spacing w:after="60"/>
      </w:pPr>
      <w:r>
        <w:t>Trong bản thiết kế cũ (DOC-NVLEV-DB-001-LEGACY), hàm hoàn phép đếm số bản ghi ngày nghỉ thay vì cộng trường trọng số ngày, làm đơn 2.5 ngày khi hủy buổi chiều cuối lại được hoàn 1.0 ngày thay vì 0.50 ngày.</w:t>
      </w:r>
    </w:p>
    <w:p>
      <w:pPr>
        <w:pStyle w:val="Heading1"/>
      </w:pPr>
      <w:r>
        <w:t>Thiết Kế Chuẩn Hóa v2.0 (Hiệu Lực Chính Thức)</w:t>
      </w:r>
    </w:p>
    <w:p>
      <w:pPr>
        <w:pStyle w:val="ListBullet"/>
        <w:spacing w:after="60"/>
      </w:pPr>
      <w:r>
        <w:t>Bảng leave_request_items lưu day_fraction NUMERIC(5,2) CHECK (day_fraction IN (0.50, 1.00)).</w:t>
      </w:r>
    </w:p>
    <w:p>
      <w:pPr>
        <w:pStyle w:val="ListBullet"/>
        <w:spacing w:after="60"/>
      </w:pPr>
      <w:r>
        <w:t>Bảng leave_balance_ledger ghi bút toán đối ứng (+0.50 hoặc -0.50) trong cùng transaction có khóa dòng trên leave_entitlements.</w:t>
      </w:r>
    </w:p>
    <w:p>
      <w:pPr>
        <w:pStyle w:val="Heading1"/>
      </w:pPr>
      <w:r>
        <w:t>Bảng Tham Chiếu / Specification Matrix</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2942"/>
          </w:tcPr>
          <w:p>
            <w:r/>
            <w:r>
              <w:rPr>
                <w:rFonts w:ascii="Aptos" w:hAnsi="Aptos"/>
                <w:b/>
                <w:color w:val="FFFFFF"/>
                <w:sz w:val="17"/>
              </w:rPr>
              <w:t>Bảng</w:t>
            </w:r>
          </w:p>
        </w:tc>
        <w:tc>
          <w:tcPr>
            <w:tcW w:type="dxa" w:w="3360"/>
            <w:vAlign w:val="center"/>
            <w:shd w:fill="0F2942"/>
          </w:tcPr>
          <w:p>
            <w:r/>
            <w:r>
              <w:rPr>
                <w:rFonts w:ascii="Aptos" w:hAnsi="Aptos"/>
                <w:b/>
                <w:color w:val="FFFFFF"/>
                <w:sz w:val="17"/>
              </w:rPr>
              <w:t>Cột Cốt Lõi</w:t>
            </w:r>
          </w:p>
        </w:tc>
        <w:tc>
          <w:tcPr>
            <w:tcW w:type="dxa" w:w="3360"/>
            <w:vAlign w:val="center"/>
            <w:shd w:fill="0F2942"/>
          </w:tcPr>
          <w:p>
            <w:r/>
            <w:r>
              <w:rPr>
                <w:rFonts w:ascii="Aptos" w:hAnsi="Aptos"/>
                <w:b/>
                <w:color w:val="FFFFFF"/>
                <w:sz w:val="17"/>
              </w:rPr>
              <w:t>Ràng Buộc Nghiệp Vụ</w:t>
            </w:r>
          </w:p>
        </w:tc>
      </w:tr>
      <w:tr>
        <w:tc>
          <w:tcPr>
            <w:tcW w:type="dxa" w:w="3360"/>
            <w:vAlign w:val="center"/>
            <w:shd w:fill="FFFFFF"/>
          </w:tcPr>
          <w:p>
            <w:r/>
            <w:r>
              <w:rPr>
                <w:rFonts w:ascii="Aptos" w:hAnsi="Aptos"/>
                <w:b w:val="0"/>
                <w:color w:val="1E293B"/>
                <w:sz w:val="17"/>
              </w:rPr>
              <w:t>leave_request_items</w:t>
            </w:r>
          </w:p>
        </w:tc>
        <w:tc>
          <w:tcPr>
            <w:tcW w:type="dxa" w:w="3360"/>
            <w:vAlign w:val="center"/>
            <w:shd w:fill="FFFFFF"/>
          </w:tcPr>
          <w:p>
            <w:r/>
            <w:r>
              <w:rPr>
                <w:rFonts w:ascii="Aptos" w:hAnsi="Aptos"/>
                <w:b w:val="0"/>
                <w:color w:val="1E293B"/>
                <w:sz w:val="17"/>
              </w:rPr>
              <w:t>day_fraction NUMERIC(5,2)</w:t>
            </w:r>
          </w:p>
        </w:tc>
        <w:tc>
          <w:tcPr>
            <w:tcW w:type="dxa" w:w="3360"/>
            <w:vAlign w:val="center"/>
            <w:shd w:fill="FFFFFF"/>
          </w:tcPr>
          <w:p>
            <w:r/>
            <w:r>
              <w:rPr>
                <w:rFonts w:ascii="Aptos" w:hAnsi="Aptos"/>
                <w:b w:val="0"/>
                <w:color w:val="1E293B"/>
                <w:sz w:val="17"/>
              </w:rPr>
              <w:t>Chỉ nhận 0.50 hoặc 1.00; ngày lễ/cuối tuần = 0 (không tạo item trừ phép)</w:t>
            </w:r>
          </w:p>
        </w:tc>
      </w:tr>
      <w:tr>
        <w:tc>
          <w:tcPr>
            <w:tcW w:type="dxa" w:w="3360"/>
            <w:vAlign w:val="center"/>
            <w:shd w:fill="F8FAFC"/>
          </w:tcPr>
          <w:p>
            <w:r/>
            <w:r>
              <w:rPr>
                <w:rFonts w:ascii="Aptos" w:hAnsi="Aptos"/>
                <w:b w:val="0"/>
                <w:color w:val="1E293B"/>
                <w:sz w:val="17"/>
              </w:rPr>
              <w:t>leave_balance_ledger</w:t>
            </w:r>
          </w:p>
        </w:tc>
        <w:tc>
          <w:tcPr>
            <w:tcW w:type="dxa" w:w="3360"/>
            <w:vAlign w:val="center"/>
            <w:shd w:fill="F8FAFC"/>
          </w:tcPr>
          <w:p>
            <w:r/>
            <w:r>
              <w:rPr>
                <w:rFonts w:ascii="Aptos" w:hAnsi="Aptos"/>
                <w:b w:val="0"/>
                <w:color w:val="1E293B"/>
                <w:sz w:val="17"/>
              </w:rPr>
              <w:t>delta_days NUMERIC(5,2)</w:t>
            </w:r>
          </w:p>
        </w:tc>
        <w:tc>
          <w:tcPr>
            <w:tcW w:type="dxa" w:w="3360"/>
            <w:vAlign w:val="center"/>
            <w:shd w:fill="F8FAFC"/>
          </w:tcPr>
          <w:p>
            <w:r/>
            <w:r>
              <w:rPr>
                <w:rFonts w:ascii="Aptos" w:hAnsi="Aptos"/>
                <w:b w:val="0"/>
                <w:color w:val="1E293B"/>
                <w:sz w:val="17"/>
              </w:rPr>
              <w:t>Tổng đại số delta_days luôn khớp used_days trên leave_entitlements</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100% Synthetic Project Document  •  DOC-NVLEV-DB-002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NOVA SOLUTIONS  •  WATERFALL HRMS DELIVERY   |   SYNTHETIC CONTINUUM BENCHMARK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29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29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2026-10-16T00:00:00Z</dcterms:created>
  <dcterms:modified xsi:type="dcterms:W3CDTF">2026-10-16T00:00:00Z</dcterms:modified>
  <cp:category/>
</cp:coreProperties>
</file>