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Đặc Tả Yêu Cầu Đăng Ký Hồ Sơ Hành Chính Giả Lập &amp; Ranh Giới Phi Lâm Sàng (Milestone M1)</w:t>
      </w:r>
    </w:p>
    <w:p>
      <w:pPr>
        <w:spacing w:after="200"/>
      </w:pPr>
      <w:r>
        <w:rPr>
          <w:i/>
          <w:color w:val="475569"/>
        </w:rPr>
        <w:t>Quy định phạm vi đăng ký hành chính tại quầy tiếp đón An Khang (mã AK-PAT-XXXXXX), che mặt nạ số liên lạc và cấm lưu dữ liệu lâm sàng.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DOC-MEDREG-REQ-001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MED-REG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Type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REQUIREMENT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Snapshot Status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APPROVED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MED-U07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Displayed Version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v1 (APPROVED)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Organization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ORG-MED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Synthetic Scope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100% Synthetic Benchmark</w:t>
            </w:r>
          </w:p>
        </w:tc>
      </w:tr>
    </w:tbl>
    <w:p/>
    <w:p>
      <w:pPr>
        <w:pStyle w:val="Heading1"/>
      </w:pPr>
      <w:r>
        <w:t>Ranh Giới Phạm Vi Hành Chính Bắt Buộc</w:t>
      </w:r>
    </w:p>
    <w:p>
      <w:pPr>
        <w:pStyle w:val="ListBullet"/>
        <w:spacing w:after="60"/>
      </w:pPr>
      <w:r>
        <w:t>Chỉ thu thập trường hành chính phục vụ xếp lịch hẹn và tiếp đón tại quầy.</w:t>
      </w:r>
    </w:p>
    <w:p>
      <w:pPr>
        <w:pStyle w:val="ListBullet"/>
        <w:spacing w:after="60"/>
      </w:pPr>
      <w:r>
        <w:t>Cấm tạo trường dữ liệu tự do lưu thông tin chuyên môn y khoa hoặc tệp đính kèm kết quả khám.</w:t>
      </w:r>
    </w:p>
    <w:p>
      <w:pPr>
        <w:pStyle w:val="Heading1"/>
      </w:pPr>
      <w:r>
        <w:t>Quy Tắc Chống Trùng Hồ Sơ &amp; Che Mặt Nạ Liên Lạc</w:t>
      </w:r>
    </w:p>
    <w:p>
      <w:pPr>
        <w:pStyle w:val="ListBullet"/>
        <w:spacing w:after="60"/>
      </w:pPr>
      <w:r>
        <w:t>Kiểm tra trùng tổ hợp (họ tên chuẩn hóa + năm sinh + băm SHA-256 số liên lạc) trước khi cấp mã AK-PAT-XXXXXX mới.</w:t>
      </w:r>
    </w:p>
    <w:p>
      <w:pPr>
        <w:pStyle w:val="ListBullet"/>
        <w:spacing w:after="60"/>
      </w:pPr>
      <w:r>
        <w:t>Màn hình tìm kiếm mặc định chỉ hiển thị 3 chữ số cuối của số liên lạc (ví dụ ***-***-482).</w:t>
      </w:r>
    </w:p>
    <w:p>
      <w:pPr>
        <w:pStyle w:val="Heading1"/>
      </w:pPr>
      <w:r>
        <w:t>Bảng Tham Chiếu / Specification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294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Nhóm Dữ Liệu</w:t>
            </w:r>
          </w:p>
        </w:tc>
        <w:tc>
          <w:tcPr>
            <w:tcW w:type="dxa" w:w="3360"/>
            <w:vAlign w:val="center"/>
            <w:shd w:fill="0F294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Trạng Thái Hỗ Trợ</w:t>
            </w:r>
          </w:p>
        </w:tc>
        <w:tc>
          <w:tcPr>
            <w:tcW w:type="dxa" w:w="3360"/>
            <w:vAlign w:val="center"/>
            <w:shd w:fill="0F294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Ghi Chú Quản Trị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Mã hành chính AK-PAT-XXXXXX &amp; khung giờ hẹn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HỖ TRỢ CHÍNH THỨC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Phục vụ tiếp đón Pilot Giai đoạn 1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Hồ sơ chuyên môn khám / kết quả xét nghiệm / thuốc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LOẠI TRỪ HOÀN TOÀN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Nằm ngoài phạm vi sản phẩm MediFlow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100% Synthetic Project Document  •  DOC-MEDREG-REQ-001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MEDIFLOW HEALTHTECH  •  HYBRID CLINIC SCHEDULING &amp; ADMIN PILOT   |   SYNTHETIC CONTINUUM BENCHMARK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294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294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2026-10-16T00:00:00Z</dcterms:created>
  <dcterms:modified xsi:type="dcterms:W3CDTF">2026-10-16T00:00:00Z</dcterms:modified>
  <cp:category/>
</cp:coreProperties>
</file>