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Northstar Commerce API Specification</w:t>
      </w:r>
    </w:p>
    <w:p>
      <w:pPr>
        <w:spacing w:after="200"/>
      </w:pPr>
      <w:r>
        <w:rPr>
          <w:i/>
          <w:color w:val="51606F"/>
        </w:rPr>
        <w:t>Cross-service API conventions, endpoint inventory, error model, tenant context, idempotency, events, and versioning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DOC-ORG-API-001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Organization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M-009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2026-10-12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</w:t>
            </w:r>
          </w:p>
        </w:tc>
      </w:tr>
    </w:tbl>
    <w:p/>
    <w:p>
      <w:pPr>
        <w:pStyle w:val="Heading1"/>
      </w:pPr>
      <w:r>
        <w:t>Transport and authentication</w:t>
      </w:r>
    </w:p>
    <w:p>
      <w:pPr>
        <w:pStyle w:val="ListBullet"/>
        <w:spacing w:after="60"/>
      </w:pPr>
      <w:r>
        <w:t>All APIs use HTTPS and versioned paths under /api/v1. User requests use OIDC bearer tokens; service calls use scoped service identities. Tenant context is resolved from trusted claims and validated against resource ownership. Correlation IDs are accepted or generated and returned.</w:t>
      </w:r>
    </w:p>
    <w:p>
      <w:pPr>
        <w:pStyle w:val="Heading1"/>
      </w:pPr>
      <w:r>
        <w:t>Endpoint inventory</w:t>
      </w:r>
    </w:p>
    <w:p>
      <w:pPr>
        <w:pStyle w:val="ListBullet"/>
        <w:spacing w:after="60"/>
      </w:pPr>
      <w:r>
        <w:t>Catalog: POST /catalog/imports, GET/POST /products, POST /products/{id}/publish. Search: GET /search and GET /search/facets. Cart: POST /carts, PATCH /carts/{id}/lines, POST /carts/{id}/quote. Checkout: POST /checkout/sessions and POST /checkout/sessions/{id}/orders. Payment: POST /payment-intents and POST /webhooks/pulsepay. Inventory: POST /reservations, POST /reservations/{id}/release. Orders: GET /orders/{id}, POST /orders/{id}/returns, POST /orders/{id}/refunds.</w:t>
      </w:r>
    </w:p>
    <w:p>
      <w:pPr>
        <w:pStyle w:val="Heading1"/>
      </w:pPr>
      <w:r>
        <w:t>Request and response conventions</w:t>
      </w:r>
    </w:p>
    <w:p>
      <w:pPr>
        <w:pStyle w:val="ListBullet"/>
        <w:spacing w:after="60"/>
      </w:pPr>
      <w:r>
        <w:t>JSON uses camelCase at the HTTP boundary and stable IDs. Pagination uses cursor plus limit with a bounded maximum. Dates are ISO 8601 UTC; monetary values use amountMinor and currency. Responses include requestId and resource version where concurrency matters.</w:t>
      </w:r>
    </w:p>
    <w:p>
      <w:pPr>
        <w:pStyle w:val="Heading1"/>
      </w:pPr>
      <w:r>
        <w:t>Errors and retries</w:t>
      </w:r>
    </w:p>
    <w:p>
      <w:pPr>
        <w:pStyle w:val="ListBullet"/>
        <w:spacing w:after="60"/>
      </w:pPr>
      <w:r>
        <w:t>Errors use code, message, requestId, and optional fieldErrors. 400 indicates malformed syntax; 401 unauthenticated; 403 denied scope; 404 absent or intentionally concealed resource; 409 idempotency/version conflict; 422 validation failure; 429 rate limit; 5xx service failure. Retry only when the operation is idempotent or has a durable key.</w:t>
      </w:r>
    </w:p>
    <w:p>
      <w:pPr>
        <w:pStyle w:val="Heading1"/>
      </w:pPr>
      <w:r>
        <w:t>Idempotency, webhooks, and events</w:t>
      </w:r>
    </w:p>
    <w:p>
      <w:pPr>
        <w:pStyle w:val="ListBullet"/>
        <w:spacing w:after="60"/>
      </w:pPr>
      <w:r>
        <w:t>Mutating order/payment endpoints require Idempotency-Key retained for at least 72 hours. Identical payload replay returns the original response; changed payload returns 409. PulsePay webhooks use HMAC-SHA256. Internal events include eventId, schemaVersion, tenantId, occurredAt, and correlationId.</w:t>
      </w:r>
    </w:p>
    <w:p>
      <w:pPr>
        <w:pStyle w:val="Heading1"/>
      </w:pPr>
      <w:r>
        <w:t>Versioning and detailed contracts</w:t>
      </w:r>
    </w:p>
    <w:p>
      <w:pPr>
        <w:pStyle w:val="ListBullet"/>
        <w:spacing w:after="60"/>
      </w:pPr>
      <w:r>
        <w:t>Additive optional fields are backward compatible; breaking behavior requires a new API major version and migration window. Checkout details are in Checkout_API_Contract.docx; PulsePay signature and delivery rules are in Partner_Webhook_Specification_PulsePay.md. The OpenAPI representation is the next implementation artifact and must be generated from the approved endpoint contract before production integration.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endpoint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Idempotency / isolation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Catalog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POST /catalog/imports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Tenant-scoped SKU and import job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Search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GET /search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 filter before ranking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Cart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POST /carts/{id}/quote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Tenant/session-bound cart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Checkout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POST /checkout/sessions/{id}/orders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Required durable key, 72h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Webhook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POST /webhooks/pulsepay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HMAC and unique event inbox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DOC-ORG-API-001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