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Business Requirements Document</w:t>
      </w:r>
    </w:p>
    <w:p>
      <w:pPr>
        <w:spacing w:after="200"/>
      </w:pPr>
      <w:r>
        <w:rPr>
          <w:i/>
          <w:color w:val="51606F"/>
        </w:rPr>
        <w:t>Business case, user needs, measurable outcomes, operating policies, and scope boundaries for the multi-tenant commerce pilot.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DOC-ORG-BRD-001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Business context</w:t>
      </w:r>
    </w:p>
    <w:p>
      <w:pPr>
        <w:pStyle w:val="ListBullet"/>
        <w:spacing w:after="60"/>
      </w:pPr>
      <w:r>
        <w:t>Meridian Outfitters manages apparel merchandising and online sales through fragmented operational tools. Northstar is building a configurable commerce platform that reduces catalog errors, improves product discovery, and gives support teams a traceable order/payment view. PulsePay provides payment authorization and settlement events.</w:t>
      </w:r>
    </w:p>
    <w:p>
      <w:pPr>
        <w:pStyle w:val="Heading1"/>
      </w:pPr>
      <w:r>
        <w:t>Stakeholders and users</w:t>
      </w:r>
    </w:p>
    <w:p>
      <w:pPr>
        <w:pStyle w:val="ListBullet"/>
        <w:spacing w:after="60"/>
      </w:pPr>
      <w:r>
        <w:t>Primary users are Meridian shoppers, merchant merchandisers, merchant support agents, Northstar product/engineering/operations staff, and PulsePay integration operators. Each persona must see only the tenant data and administrative actions required for its role.</w:t>
      </w:r>
    </w:p>
    <w:p>
      <w:pPr>
        <w:pStyle w:val="Heading1"/>
      </w:pPr>
      <w:r>
        <w:t>Business outcomes and measures</w:t>
      </w:r>
    </w:p>
    <w:p>
      <w:pPr>
        <w:pStyle w:val="ListBullet"/>
        <w:spacing w:after="60"/>
      </w:pPr>
      <w:r>
        <w:t>The pilot targets 99.9% checkout availability, search p95 below 300 ms at 100 queries per second, zero duplicate captures, catalog import validation with row-level remediation, and a traceable order lifecycle. Measures are computed from the definitions in the analytics data dictionary.</w:t>
      </w:r>
    </w:p>
    <w:p>
      <w:pPr>
        <w:pStyle w:val="Heading1"/>
      </w:pPr>
      <w:r>
        <w:t>Business requirements</w:t>
      </w:r>
    </w:p>
    <w:p>
      <w:pPr>
        <w:pStyle w:val="ListBullet"/>
        <w:spacing w:after="60"/>
      </w:pPr>
      <w:r>
        <w:t>BR-01: import and publish accurate merchant catalogs. BR-02: enable relevant, tenant-scoped discovery. BR-03: calculate cart prices and promotions consistently. BR-04: place one order despite network retries. BR-05: reserve inventory without oversell. BR-06: reconcile payment and refunds. BR-07: support returns with an auditable policy window. BR-08: enforce identity, access, and tenant isolation.</w:t>
      </w:r>
    </w:p>
    <w:p>
      <w:pPr>
        <w:pStyle w:val="Heading1"/>
      </w:pPr>
      <w:r>
        <w:t>Policy constraints</w:t>
      </w:r>
    </w:p>
    <w:p>
      <w:pPr>
        <w:pStyle w:val="ListBullet"/>
        <w:spacing w:after="60"/>
      </w:pPr>
      <w:r>
        <w:t>All prices use integer minor units with explicit ISO currency. Meridian returns are accepted within 30 calendar days of carrier delivery, subject to inspection. A refund is complete only on settlement confirmation. Payment card PAN and CVV are never stored. Existing merchant data is not used to train cross-tenant personalization.</w:t>
      </w:r>
    </w:p>
    <w:p>
      <w:pPr>
        <w:pStyle w:val="Heading1"/>
      </w:pPr>
      <w:r>
        <w:t>Assumptions and dependencies</w:t>
      </w:r>
    </w:p>
    <w:p>
      <w:pPr>
        <w:pStyle w:val="ListBullet"/>
        <w:spacing w:after="60"/>
      </w:pPr>
      <w:r>
        <w:t>The pilot uses synthetic records and a PulsePay sandbox. Merchant provides a valid catalog sample and authorized users. Tax, carrier, and identity providers expose stable sandbox contracts. Service-level objectives depend on the agreed reference load and are not a production guarantee.</w:t>
      </w:r>
    </w:p>
    <w:p>
      <w:pPr>
        <w:pStyle w:val="Heading1"/>
      </w:pPr>
      <w:r>
        <w:t>Acceptance and exclusions</w:t>
      </w:r>
    </w:p>
    <w:p>
      <w:pPr>
        <w:pStyle w:val="ListBullet"/>
        <w:spacing w:after="60"/>
      </w:pPr>
      <w:r>
        <w:t>Business acceptance requires end-to-end buyer and merchant workflows, reconciled totals, access-control evidence, agreed operational runbooks, and documented exception approval. Multi-region active-active, automated translation, and unrestricted external marketplace integrations are out of scope.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 reliability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Successful requests / eligible requests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99.9%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Search performance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P95 at 100 QPS / 50k SKUs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&lt; 300 ms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Payment integrity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Duplicate captures in replay suite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0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Catalog quality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Valid rows imported with row errors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&gt;= 99.5% valid-row success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DOC-ORG-BRD-001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