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Northstar Commerce Master Test Plan</w:t>
      </w:r>
    </w:p>
    <w:p>
      <w:pPr>
        <w:spacing w:after="200"/>
      </w:pPr>
      <w:r>
        <w:rPr>
          <w:i/>
          <w:color w:val="51606F"/>
        </w:rPr>
        <w:t>Test strategy, levels, environments, data controls, entry/exit criteria, defect handling, and release evidence for the pilot.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DOC-ORG-TEST-PLAN-001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Organization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M-010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1.0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Updated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2026-10-12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Approved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Internal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Access Groups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GRP-ALL-STAFF</w:t>
            </w:r>
          </w:p>
        </w:tc>
      </w:tr>
    </w:tbl>
    <w:p/>
    <w:p>
      <w:pPr>
        <w:pStyle w:val="Heading1"/>
      </w:pPr>
      <w:r>
        <w:t>Scope and test levels</w:t>
      </w:r>
    </w:p>
    <w:p>
      <w:pPr>
        <w:pStyle w:val="ListBullet"/>
        <w:spacing w:after="60"/>
      </w:pPr>
      <w:r>
        <w:t>The plan covers unit, API contract, service integration, end-to-end workflow, regression, security/ACL, performance, accessibility, recovery, document ingestion, RAG, and analytics/progress evaluation. Functional test cases are in structured/functional_test_cases.jsonl; RAG and ingestion gold cases remain in the isolated evaluation namespace.</w:t>
      </w:r>
    </w:p>
    <w:p>
      <w:pPr>
        <w:pStyle w:val="Heading1"/>
      </w:pPr>
      <w:r>
        <w:t>Environment and data</w:t>
      </w:r>
    </w:p>
    <w:p>
      <w:pPr>
        <w:pStyle w:val="ListBullet"/>
        <w:spacing w:after="60"/>
      </w:pPr>
      <w:r>
        <w:t>Use deterministic synthetic merchants, users, products, orders, provider events, and test documents. Never use production credentials or customer data. Environments are local, CI, and isolated staging-sim; provider integration uses PulsePay sandbox. Each run records build, schema version, seed, environment, and executor.</w:t>
      </w:r>
    </w:p>
    <w:p>
      <w:pPr>
        <w:pStyle w:val="Heading1"/>
      </w:pPr>
      <w:r>
        <w:t>Entry criteria</w:t>
      </w:r>
    </w:p>
    <w:p>
      <w:pPr>
        <w:pStyle w:val="ListBullet"/>
        <w:spacing w:after="60"/>
      </w:pPr>
      <w:r>
        <w:t>Requirement baseline and contracts are approved; build is deployable; test data and access roles are provisioned; critical dependencies are available or a documented stub is used; no unresolved environment blocker prevents meaningful results.</w:t>
      </w:r>
    </w:p>
    <w:p>
      <w:pPr>
        <w:pStyle w:val="Heading1"/>
      </w:pPr>
      <w:r>
        <w:t>Exit and release criteria</w:t>
      </w:r>
    </w:p>
    <w:p>
      <w:pPr>
        <w:pStyle w:val="ListBullet"/>
        <w:spacing w:after="60"/>
      </w:pPr>
      <w:r>
        <w:t>All P0/P1 acceptance tests pass or have approved time-bounded exceptions; no open critical security/data-loss defect; tenant isolation and idempotency suites pass; performance is within target under the reference workload; rollback and recovery evidence exists; UAT owner signs off.</w:t>
      </w:r>
    </w:p>
    <w:p>
      <w:pPr>
        <w:pStyle w:val="Heading1"/>
      </w:pPr>
      <w:r>
        <w:t>Defect and evidence management</w:t>
      </w:r>
    </w:p>
    <w:p>
      <w:pPr>
        <w:pStyle w:val="ListBullet"/>
        <w:spacing w:after="60"/>
      </w:pPr>
      <w:r>
        <w:t>Every failure has a reproducible test ID, build/environment, expected/actual result, severity, owner, issue key, and evidence link. Blocked tests identify the external dependency and retest trigger. Waivers record approver, rationale, mitigation, and expiry.</w:t>
      </w:r>
    </w:p>
    <w:p>
      <w:pPr>
        <w:pStyle w:val="Heading1"/>
      </w:pPr>
      <w:r>
        <w:t>Specialized evaluation suites</w:t>
      </w:r>
    </w:p>
    <w:p>
      <w:pPr>
        <w:pStyle w:val="ListBullet"/>
        <w:spacing w:after="60"/>
      </w:pPr>
      <w:r>
        <w:t>RAG cases assess answerability, citation fidelity, version precedence, and abstention; ACL cases assess no-leak behavior before retrieval; ingestion cases assess formats, metadata, links, and checksums; analytics cases verify formulas and Jira-like progress. Gold answers are not loaded into the demo retrieval index.</w:t>
      </w:r>
    </w:p>
    <w:p>
      <w:pPr>
        <w:pStyle w:val="Heading1"/>
      </w:pPr>
      <w:r>
        <w:t>Reference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Level</w:t>
            </w:r>
          </w:p>
        </w:tc>
        <w:tc>
          <w:tcPr>
            <w:tcW w:type="dxa" w:w="3331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331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Exit evidence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Unit/API contract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Local rules and stable interfaces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Requirement-linked results</w:t>
            </w:r>
          </w:p>
        </w:tc>
      </w:tr>
      <w:tr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Integration/E2E</w:t>
            </w:r>
          </w:p>
        </w:tc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Cross-service workflows and compensation</w:t>
            </w:r>
          </w:p>
        </w:tc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Orders/payments/inventory reconcile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Security/ACL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Identity, tenant, role, retrieval boundaries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No unauthorized signal leakage</w:t>
            </w:r>
          </w:p>
        </w:tc>
      </w:tr>
      <w:tr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Performance/recovery</w:t>
            </w:r>
          </w:p>
        </w:tc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Reference load and restoration</w:t>
            </w:r>
          </w:p>
        </w:tc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Measured latency, RPO, RTO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UAT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Merchant and operator acceptance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Signed disposition or exception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97784"/>
        <w:sz w:val="16"/>
      </w:rPr>
      <w:t>Synthetic demo material  •  DOC-ORG-TEST-PLAN-001  • 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97784"/>
        <w:sz w:val="16"/>
      </w:rPr>
      <w:t>NORTHSTAR COMMERCE SYSTEMS   /   SYNTHETIC ENTERPRISE DATASET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303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2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2026-10-12T00:00:00Z</dcterms:created>
  <dcterms:modified xsi:type="dcterms:W3CDTF">2026-10-12T00:00:00Z</dcterms:modified>
  <cp:category/>
</cp:coreProperties>
</file>