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t>Northstar Commerce Project Management Plan</w:t>
      </w:r>
    </w:p>
    <w:p>
      <w:pPr>
        <w:spacing w:after="200"/>
      </w:pPr>
      <w:r>
        <w:rPr>
          <w:i/>
          <w:color w:val="51606F"/>
        </w:rPr>
        <w:t>Integrated governance baseline for the Northstar Commerce pilot and its eight Jira workstreams.</w:t>
      </w:r>
    </w:p>
    <w:tbl>
      <w:tblPr>
        <w:tblW w:type="auto" w:w="0"/>
        <w:jc w:val="center"/>
        <w:tblLook w:firstColumn="1" w:firstRow="1" w:lastColumn="0" w:lastRow="0" w:noHBand="0" w:noVBand="1" w:val="04A0"/>
      </w:tblPr>
      <w:tblGrid>
        <w:gridCol w:w="2498"/>
        <w:gridCol w:w="2498"/>
        <w:gridCol w:w="2498"/>
        <w:gridCol w:w="2498"/>
      </w:tblGrid>
      <w:tr>
        <w:tc>
          <w:tcPr>
            <w:tcW w:type="dxa" w:w="2498"/>
            <w:vAlign w:val="center"/>
            <w:shd w:fill="16697A"/>
          </w:tcPr>
          <w:p>
            <w:r/>
            <w:r>
              <w:rPr>
                <w:rFonts w:ascii="Aptos" w:hAnsi="Aptos"/>
                <w:b/>
                <w:color w:val="FFFFFF"/>
                <w:sz w:val="17"/>
              </w:rPr>
              <w:t>Document ID</w:t>
            </w:r>
          </w:p>
        </w:tc>
        <w:tc>
          <w:tcPr>
            <w:tcW w:type="dxa" w:w="2498"/>
            <w:vAlign w:val="center"/>
            <w:shd w:fill="F1F5F8"/>
          </w:tcPr>
          <w:p>
            <w:r/>
            <w:r>
              <w:rPr>
                <w:rFonts w:ascii="Aptos" w:hAnsi="Aptos"/>
                <w:b w:val="0"/>
                <w:color w:val="24364B"/>
                <w:sz w:val="17"/>
              </w:rPr>
              <w:t>DOC-ORG-PMP-001</w:t>
            </w:r>
          </w:p>
        </w:tc>
        <w:tc>
          <w:tcPr>
            <w:tcW w:type="dxa" w:w="2498"/>
            <w:vAlign w:val="center"/>
            <w:shd w:fill="16697A"/>
          </w:tcPr>
          <w:p>
            <w:r/>
            <w:r>
              <w:rPr>
                <w:rFonts w:ascii="Aptos" w:hAnsi="Aptos"/>
                <w:b/>
                <w:color w:val="FFFFFF"/>
                <w:sz w:val="17"/>
              </w:rPr>
              <w:t>Project</w:t>
            </w:r>
          </w:p>
        </w:tc>
        <w:tc>
          <w:tcPr>
            <w:tcW w:type="dxa" w:w="2498"/>
            <w:vAlign w:val="center"/>
            <w:shd w:fill="F1F5F8"/>
          </w:tcPr>
          <w:p>
            <w:r/>
            <w:r>
              <w:rPr>
                <w:rFonts w:ascii="Aptos" w:hAnsi="Aptos"/>
                <w:b w:val="0"/>
                <w:color w:val="24364B"/>
                <w:sz w:val="17"/>
              </w:rPr>
              <w:t>Organization</w:t>
            </w:r>
          </w:p>
        </w:tc>
      </w:tr>
      <w:tr>
        <w:tc>
          <w:tcPr>
            <w:tcW w:type="dxa" w:w="2498"/>
            <w:vAlign w:val="center"/>
            <w:shd w:fill="16697A"/>
          </w:tcPr>
          <w:p>
            <w:r/>
            <w:r>
              <w:rPr>
                <w:rFonts w:ascii="Aptos" w:hAnsi="Aptos"/>
                <w:b/>
                <w:color w:val="FFFFFF"/>
                <w:sz w:val="17"/>
              </w:rPr>
              <w:t>Owner</w:t>
            </w:r>
          </w:p>
        </w:tc>
        <w:tc>
          <w:tcPr>
            <w:tcW w:type="dxa" w:w="2498"/>
            <w:vAlign w:val="center"/>
            <w:shd w:fill="F1F5F8"/>
          </w:tcPr>
          <w:p>
            <w:r/>
            <w:r>
              <w:rPr>
                <w:rFonts w:ascii="Aptos" w:hAnsi="Aptos"/>
                <w:b w:val="0"/>
                <w:color w:val="24364B"/>
                <w:sz w:val="17"/>
              </w:rPr>
              <w:t>M-002</w:t>
            </w:r>
          </w:p>
        </w:tc>
        <w:tc>
          <w:tcPr>
            <w:tcW w:type="dxa" w:w="2498"/>
            <w:vAlign w:val="center"/>
            <w:shd w:fill="16697A"/>
          </w:tcPr>
          <w:p>
            <w:r/>
            <w:r>
              <w:rPr>
                <w:rFonts w:ascii="Aptos" w:hAnsi="Aptos"/>
                <w:b/>
                <w:color w:val="FFFFFF"/>
                <w:sz w:val="17"/>
              </w:rPr>
              <w:t>Version</w:t>
            </w:r>
          </w:p>
        </w:tc>
        <w:tc>
          <w:tcPr>
            <w:tcW w:type="dxa" w:w="2498"/>
            <w:vAlign w:val="center"/>
            <w:shd w:fill="F1F5F8"/>
          </w:tcPr>
          <w:p>
            <w:r/>
            <w:r>
              <w:rPr>
                <w:rFonts w:ascii="Aptos" w:hAnsi="Aptos"/>
                <w:b w:val="0"/>
                <w:color w:val="24364B"/>
                <w:sz w:val="17"/>
              </w:rPr>
              <w:t>1.0</w:t>
            </w:r>
          </w:p>
        </w:tc>
      </w:tr>
      <w:tr>
        <w:tc>
          <w:tcPr>
            <w:tcW w:type="dxa" w:w="2498"/>
            <w:vAlign w:val="center"/>
            <w:shd w:fill="16697A"/>
          </w:tcPr>
          <w:p>
            <w:r/>
            <w:r>
              <w:rPr>
                <w:rFonts w:ascii="Aptos" w:hAnsi="Aptos"/>
                <w:b/>
                <w:color w:val="FFFFFF"/>
                <w:sz w:val="17"/>
              </w:rPr>
              <w:t>Updated</w:t>
            </w:r>
          </w:p>
        </w:tc>
        <w:tc>
          <w:tcPr>
            <w:tcW w:type="dxa" w:w="2498"/>
            <w:vAlign w:val="center"/>
            <w:shd w:fill="F1F5F8"/>
          </w:tcPr>
          <w:p>
            <w:r/>
            <w:r>
              <w:rPr>
                <w:rFonts w:ascii="Aptos" w:hAnsi="Aptos"/>
                <w:b w:val="0"/>
                <w:color w:val="24364B"/>
                <w:sz w:val="17"/>
              </w:rPr>
              <w:t>2026-10-12</w:t>
            </w:r>
          </w:p>
        </w:tc>
        <w:tc>
          <w:tcPr>
            <w:tcW w:type="dxa" w:w="2498"/>
            <w:vAlign w:val="center"/>
            <w:shd w:fill="16697A"/>
          </w:tcPr>
          <w:p>
            <w:r/>
            <w:r>
              <w:rPr>
                <w:rFonts w:ascii="Aptos" w:hAnsi="Aptos"/>
                <w:b/>
                <w:color w:val="FFFFFF"/>
                <w:sz w:val="17"/>
              </w:rPr>
              <w:t>Status</w:t>
            </w:r>
          </w:p>
        </w:tc>
        <w:tc>
          <w:tcPr>
            <w:tcW w:type="dxa" w:w="2498"/>
            <w:vAlign w:val="center"/>
            <w:shd w:fill="F1F5F8"/>
          </w:tcPr>
          <w:p>
            <w:r/>
            <w:r>
              <w:rPr>
                <w:rFonts w:ascii="Aptos" w:hAnsi="Aptos"/>
                <w:b w:val="0"/>
                <w:color w:val="24364B"/>
                <w:sz w:val="17"/>
              </w:rPr>
              <w:t>Approved</w:t>
            </w:r>
          </w:p>
        </w:tc>
      </w:tr>
      <w:tr>
        <w:tc>
          <w:tcPr>
            <w:tcW w:type="dxa" w:w="2498"/>
            <w:vAlign w:val="center"/>
            <w:shd w:fill="16697A"/>
          </w:tcPr>
          <w:p>
            <w:r/>
            <w:r>
              <w:rPr>
                <w:rFonts w:ascii="Aptos" w:hAnsi="Aptos"/>
                <w:b/>
                <w:color w:val="FFFFFF"/>
                <w:sz w:val="17"/>
              </w:rPr>
              <w:t>Classification</w:t>
            </w:r>
          </w:p>
        </w:tc>
        <w:tc>
          <w:tcPr>
            <w:tcW w:type="dxa" w:w="2498"/>
            <w:vAlign w:val="center"/>
            <w:shd w:fill="F1F5F8"/>
          </w:tcPr>
          <w:p>
            <w:r/>
            <w:r>
              <w:rPr>
                <w:rFonts w:ascii="Aptos" w:hAnsi="Aptos"/>
                <w:b w:val="0"/>
                <w:color w:val="24364B"/>
                <w:sz w:val="17"/>
              </w:rPr>
              <w:t>Internal</w:t>
            </w:r>
          </w:p>
        </w:tc>
        <w:tc>
          <w:tcPr>
            <w:tcW w:type="dxa" w:w="2498"/>
            <w:vAlign w:val="center"/>
            <w:shd w:fill="16697A"/>
          </w:tcPr>
          <w:p>
            <w:r/>
            <w:r>
              <w:rPr>
                <w:rFonts w:ascii="Aptos" w:hAnsi="Aptos"/>
                <w:b/>
                <w:color w:val="FFFFFF"/>
                <w:sz w:val="17"/>
              </w:rPr>
              <w:t>Access Groups</w:t>
            </w:r>
          </w:p>
        </w:tc>
        <w:tc>
          <w:tcPr>
            <w:tcW w:type="dxa" w:w="2498"/>
            <w:vAlign w:val="center"/>
            <w:shd w:fill="F1F5F8"/>
          </w:tcPr>
          <w:p>
            <w:r/>
            <w:r>
              <w:rPr>
                <w:rFonts w:ascii="Aptos" w:hAnsi="Aptos"/>
                <w:b w:val="0"/>
                <w:color w:val="24364B"/>
                <w:sz w:val="17"/>
              </w:rPr>
              <w:t>GRP-ALL-STAFF</w:t>
            </w:r>
          </w:p>
        </w:tc>
      </w:tr>
    </w:tbl>
    <w:p/>
    <w:p>
      <w:pPr>
        <w:pStyle w:val="Heading1"/>
      </w:pPr>
      <w:r>
        <w:t>Purpose and governance</w:t>
      </w:r>
    </w:p>
    <w:p>
      <w:pPr>
        <w:pStyle w:val="ListBullet"/>
        <w:spacing w:after="60"/>
      </w:pPr>
      <w:r>
        <w:t>The plan governs the fictional Northstar Commerce pilot for Meridian Outfitters with PulsePay Network as an integration partner. The executive sponsor (M-001) owns investment and release decisions; the product manager (M-002) owns scope and requirement baselines; project owners own delivery evidence. The as-of snapshot is 12 October 2026.</w:t>
      </w:r>
    </w:p>
    <w:p>
      <w:pPr>
        <w:pStyle w:val="Heading1"/>
      </w:pPr>
      <w:r>
        <w:t>Scope and deliverables</w:t>
      </w:r>
    </w:p>
    <w:p>
      <w:pPr>
        <w:pStyle w:val="ListBullet"/>
        <w:spacing w:after="60"/>
      </w:pPr>
      <w:r>
        <w:t>The release scope covers catalog, search, cart/promotions, checkout, payment, inventory, orders/returns, and platform governance. Shared deliverables are listed in the coverage matrix. Customer production migration, machine translation, cross-merchant personalization, and storage of raw payment card data are excluded.</w:t>
      </w:r>
    </w:p>
    <w:p>
      <w:pPr>
        <w:pStyle w:val="Heading1"/>
      </w:pPr>
      <w:r>
        <w:t>Work breakdown and schedule</w:t>
      </w:r>
    </w:p>
    <w:p>
      <w:pPr>
        <w:pStyle w:val="ListBullet"/>
        <w:spacing w:after="60"/>
      </w:pPr>
      <w:r>
        <w:t>The eight workstreams use 13 consecutive two-week sprints ending 12 October 2026 in the dataset snapshot. Release readiness is planned for 16 October 2026 and the pilot launch target is 23 October 2026, subject to the checkout/payment gate. Platform foundation continues through 4 December 2026.</w:t>
      </w:r>
    </w:p>
    <w:p>
      <w:pPr>
        <w:pStyle w:val="Heading1"/>
      </w:pPr>
      <w:r>
        <w:t>Roles and capacity</w:t>
      </w:r>
    </w:p>
    <w:p>
      <w:pPr>
        <w:pStyle w:val="ListBullet"/>
        <w:spacing w:after="60"/>
      </w:pPr>
      <w:r>
        <w:t>The product manager maintains the backlog and acceptance wording; engineering owners estimate and deliver; QA owns test design and execution evidence; Security approves restricted-data controls; SRE owns operational readiness; merchant and partner contacts validate their tenant-specific workflows.</w:t>
      </w:r>
    </w:p>
    <w:p>
      <w:pPr>
        <w:pStyle w:val="Heading1"/>
      </w:pPr>
      <w:r>
        <w:t>Communication and change control</w:t>
      </w:r>
    </w:p>
    <w:p>
      <w:pPr>
        <w:pStyle w:val="ListBullet"/>
        <w:spacing w:after="60"/>
      </w:pPr>
      <w:r>
        <w:t>Daily squad updates are represented as anchored Markdown records. Weekly pilot decisions are recorded with action owner and linked Jira issue. Changes to approved requirements require a change request, impact analysis, product/security approval as applicable, updated RTM, and a new version; no silent baseline edits are allowed.</w:t>
      </w:r>
    </w:p>
    <w:p>
      <w:pPr>
        <w:pStyle w:val="Heading1"/>
      </w:pPr>
      <w:r>
        <w:t>Quality and acceptance</w:t>
      </w:r>
    </w:p>
    <w:p>
      <w:pPr>
        <w:pStyle w:val="ListBullet"/>
        <w:spacing w:after="60"/>
      </w:pPr>
      <w:r>
        <w:t>A release candidate must pass the approved functional and regression suites, have no unresolved critical security defect, demonstrate tenant isolation, provide rollback evidence, and receive merchant UAT sign-off or an explicitly documented exception.</w:t>
      </w:r>
    </w:p>
    <w:p>
      <w:pPr>
        <w:pStyle w:val="Heading1"/>
      </w:pPr>
      <w:r>
        <w:t>Risk and escalation</w:t>
      </w:r>
    </w:p>
    <w:p>
      <w:pPr>
        <w:pStyle w:val="ListBullet"/>
        <w:spacing w:after="60"/>
      </w:pPr>
      <w:r>
        <w:t>The risk register is reviewed weekly. A P0/P1 security, payment duplication, or data-loss event is escalated immediately to the sponsor and incident lead; a release-impacting blocker without a recovery owner is raised at the same business day checkpoint.</w:t>
      </w:r>
    </w:p>
    <w:p>
      <w:pPr>
        <w:pStyle w:val="Heading1"/>
      </w:pPr>
      <w:r>
        <w:t>Reference Table</w:t>
      </w:r>
    </w:p>
    <w:tbl>
      <w:tblPr>
        <w:tblW w:type="auto" w:w="0"/>
        <w:jc w:val="center"/>
        <w:tblLook w:firstColumn="1" w:firstRow="1" w:lastColumn="0" w:lastRow="0" w:noHBand="0" w:noVBand="1" w:val="04A0"/>
      </w:tblPr>
      <w:tblGrid>
        <w:gridCol w:w="4997"/>
        <w:gridCol w:w="4997"/>
      </w:tblGrid>
      <w:tr>
        <w:tc>
          <w:tcPr>
            <w:tcW w:type="dxa" w:w="4997"/>
            <w:vAlign w:val="center"/>
            <w:shd w:fill="16324F"/>
          </w:tcPr>
          <w:p>
            <w:r/>
            <w:r>
              <w:rPr>
                <w:rFonts w:ascii="Aptos" w:hAnsi="Aptos"/>
                <w:b/>
                <w:color w:val="FFFFFF"/>
                <w:sz w:val="17"/>
              </w:rPr>
              <w:t>Role</w:t>
            </w:r>
          </w:p>
        </w:tc>
        <w:tc>
          <w:tcPr>
            <w:tcW w:type="dxa" w:w="4997"/>
            <w:vAlign w:val="center"/>
            <w:shd w:fill="16324F"/>
          </w:tcPr>
          <w:p>
            <w:r/>
            <w:r>
              <w:rPr>
                <w:rFonts w:ascii="Aptos" w:hAnsi="Aptos"/>
                <w:b/>
                <w:color w:val="FFFFFF"/>
                <w:sz w:val="17"/>
              </w:rPr>
              <w:t>Accountability</w:t>
            </w:r>
          </w:p>
        </w:tc>
      </w:tr>
      <w:tr>
        <w:tc>
          <w:tcPr>
            <w:tcW w:type="dxa" w:w="4997"/>
            <w:vAlign w:val="center"/>
            <w:shd w:fill="FFFFFF"/>
          </w:tcPr>
          <w:p>
            <w:r/>
            <w:r>
              <w:rPr>
                <w:rFonts w:ascii="Aptos" w:hAnsi="Aptos"/>
                <w:b w:val="0"/>
                <w:color w:val="24364B"/>
                <w:sz w:val="17"/>
              </w:rPr>
              <w:t>Executive sponsor</w:t>
            </w:r>
          </w:p>
        </w:tc>
        <w:tc>
          <w:tcPr>
            <w:tcW w:type="dxa" w:w="4997"/>
            <w:vAlign w:val="center"/>
            <w:shd w:fill="FFFFFF"/>
          </w:tcPr>
          <w:p>
            <w:r/>
            <w:r>
              <w:rPr>
                <w:rFonts w:ascii="Aptos" w:hAnsi="Aptos"/>
                <w:b w:val="0"/>
                <w:color w:val="24364B"/>
                <w:sz w:val="17"/>
              </w:rPr>
              <w:t>Investment, risk acceptance, release decision</w:t>
            </w:r>
          </w:p>
        </w:tc>
      </w:tr>
      <w:tr>
        <w:tc>
          <w:tcPr>
            <w:tcW w:type="dxa" w:w="4997"/>
            <w:vAlign w:val="center"/>
            <w:shd w:fill="F1F5F8"/>
          </w:tcPr>
          <w:p>
            <w:r/>
            <w:r>
              <w:rPr>
                <w:rFonts w:ascii="Aptos" w:hAnsi="Aptos"/>
                <w:b w:val="0"/>
                <w:color w:val="24364B"/>
                <w:sz w:val="17"/>
              </w:rPr>
              <w:t>Product manager</w:t>
            </w:r>
          </w:p>
        </w:tc>
        <w:tc>
          <w:tcPr>
            <w:tcW w:type="dxa" w:w="4997"/>
            <w:vAlign w:val="center"/>
            <w:shd w:fill="F1F5F8"/>
          </w:tcPr>
          <w:p>
            <w:r/>
            <w:r>
              <w:rPr>
                <w:rFonts w:ascii="Aptos" w:hAnsi="Aptos"/>
                <w:b w:val="0"/>
                <w:color w:val="24364B"/>
                <w:sz w:val="17"/>
              </w:rPr>
              <w:t>Scope, backlog, requirement baseline</w:t>
            </w:r>
          </w:p>
        </w:tc>
      </w:tr>
      <w:tr>
        <w:tc>
          <w:tcPr>
            <w:tcW w:type="dxa" w:w="4997"/>
            <w:vAlign w:val="center"/>
            <w:shd w:fill="FFFFFF"/>
          </w:tcPr>
          <w:p>
            <w:r/>
            <w:r>
              <w:rPr>
                <w:rFonts w:ascii="Aptos" w:hAnsi="Aptos"/>
                <w:b w:val="0"/>
                <w:color w:val="24364B"/>
                <w:sz w:val="17"/>
              </w:rPr>
              <w:t>Workstream owner</w:t>
            </w:r>
          </w:p>
        </w:tc>
        <w:tc>
          <w:tcPr>
            <w:tcW w:type="dxa" w:w="4997"/>
            <w:vAlign w:val="center"/>
            <w:shd w:fill="FFFFFF"/>
          </w:tcPr>
          <w:p>
            <w:r/>
            <w:r>
              <w:rPr>
                <w:rFonts w:ascii="Aptos" w:hAnsi="Aptos"/>
                <w:b w:val="0"/>
                <w:color w:val="24364B"/>
                <w:sz w:val="17"/>
              </w:rPr>
              <w:t>Delivery, dependencies, issue health</w:t>
            </w:r>
          </w:p>
        </w:tc>
      </w:tr>
      <w:tr>
        <w:tc>
          <w:tcPr>
            <w:tcW w:type="dxa" w:w="4997"/>
            <w:vAlign w:val="center"/>
            <w:shd w:fill="F1F5F8"/>
          </w:tcPr>
          <w:p>
            <w:r/>
            <w:r>
              <w:rPr>
                <w:rFonts w:ascii="Aptos" w:hAnsi="Aptos"/>
                <w:b w:val="0"/>
                <w:color w:val="24364B"/>
                <w:sz w:val="17"/>
              </w:rPr>
              <w:t>QA lead</w:t>
            </w:r>
          </w:p>
        </w:tc>
        <w:tc>
          <w:tcPr>
            <w:tcW w:type="dxa" w:w="4997"/>
            <w:vAlign w:val="center"/>
            <w:shd w:fill="F1F5F8"/>
          </w:tcPr>
          <w:p>
            <w:r/>
            <w:r>
              <w:rPr>
                <w:rFonts w:ascii="Aptos" w:hAnsi="Aptos"/>
                <w:b w:val="0"/>
                <w:color w:val="24364B"/>
                <w:sz w:val="17"/>
              </w:rPr>
              <w:t>Test evidence, defect triage, exit recommendation</w:t>
            </w:r>
          </w:p>
        </w:tc>
      </w:tr>
      <w:tr>
        <w:tc>
          <w:tcPr>
            <w:tcW w:type="dxa" w:w="4997"/>
            <w:vAlign w:val="center"/>
            <w:shd w:fill="FFFFFF"/>
          </w:tcPr>
          <w:p>
            <w:r/>
            <w:r>
              <w:rPr>
                <w:rFonts w:ascii="Aptos" w:hAnsi="Aptos"/>
                <w:b w:val="0"/>
                <w:color w:val="24364B"/>
                <w:sz w:val="17"/>
              </w:rPr>
              <w:t>Security / SRE</w:t>
            </w:r>
          </w:p>
        </w:tc>
        <w:tc>
          <w:tcPr>
            <w:tcW w:type="dxa" w:w="4997"/>
            <w:vAlign w:val="center"/>
            <w:shd w:fill="FFFFFF"/>
          </w:tcPr>
          <w:p>
            <w:r/>
            <w:r>
              <w:rPr>
                <w:rFonts w:ascii="Aptos" w:hAnsi="Aptos"/>
                <w:b w:val="0"/>
                <w:color w:val="24364B"/>
                <w:sz w:val="17"/>
              </w:rPr>
              <w:t>Security approval, monitoring, recovery readiness</w:t>
            </w:r>
          </w:p>
        </w:tc>
      </w:tr>
    </w:tbl>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7784"/>
        <w:sz w:val="16"/>
      </w:rPr>
      <w:t>Synthetic demo material  •  DOC-ORG-PMP-001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97784"/>
        <w:sz w:val="16"/>
      </w:rPr>
      <w:t>NORTHSTAR COMMERCE SYSTEMS   /   SYNTHETIC ENTERPRISE DATASET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0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2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32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2026-10-12T00:00:00Z</dcterms:created>
  <dcterms:modified xsi:type="dcterms:W3CDTF">2026-10-12T00:00:00Z</dcterms:modified>
  <cp:category/>
</cp:coreProperties>
</file>