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FRS Phân Hệ Hồ Sơ Nhân Sự, Hợp Đồng &amp; Dây Chuyền Báo Cáo (Minh Phát ~300 Nhân Viên)</w:t>
      </w:r>
    </w:p>
    <w:p>
      <w:pPr>
        <w:spacing w:after="200"/>
      </w:pPr>
      <w:r>
        <w:rPr>
          <w:i/>
          <w:color w:val="475569"/>
        </w:rPr>
        <w:t>Đặc tả yêu cầu nghiệp vụ Core HR đã ký nghiệm thu cổng Waterfall Phase 2 và cập nhật quy tắc bàn giao quyền quản lý trực tiếp.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DOC-NVHR-REQ-001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NOVA-HR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NV-U07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v2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ORG-NOVA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Phạm Vi Nghiệp Vụ Core HR (Baseline v2.0)</w:t>
      </w:r>
    </w:p>
    <w:p>
      <w:pPr>
        <w:pStyle w:val="ListBullet"/>
        <w:spacing w:after="60"/>
      </w:pPr>
      <w:r>
        <w:t>Hệ thống quản lý 312 nhân viên tại Văn phòng Quận 7 và Nhà máy Bình Dương; tuyệt đối không lưu dữ liệu bảng lương hay tài khoản ngân hàng chi lương.</w:t>
      </w:r>
    </w:p>
    <w:p>
      <w:pPr>
        <w:pStyle w:val="ListBullet"/>
        <w:spacing w:after="60"/>
      </w:pPr>
      <w:r>
        <w:t>Khi ghi nhận quyết định thôi việc (Termination Record), trạng thái nhân sự chuyển sang TERMINATED vào cuối ngày làm việc cuối và thu hồi quyền đăng nhập.</w:t>
      </w:r>
    </w:p>
    <w:p>
      <w:pPr>
        <w:pStyle w:val="Heading1"/>
      </w:pPr>
      <w:r>
        <w:t>Quy Tắc Dây Chuyền Quản Lý (Supervisor Report-To)</w:t>
      </w:r>
    </w:p>
    <w:p>
      <w:pPr>
        <w:pStyle w:val="ListBullet"/>
        <w:spacing w:after="60"/>
      </w:pPr>
      <w:r>
        <w:t>Mỗi nhân viên có đúng 01 Quản lý trực tiếp (Direct Supervisor) nhận đơn nghỉ phép bước 1 và tối đa 02 Quản lý phối hợp (Dotted-Line).</w:t>
      </w:r>
    </w:p>
    <w:p>
      <w:pPr>
        <w:pStyle w:val="ListBullet"/>
        <w:spacing w:after="60"/>
      </w:pPr>
      <w:r>
        <w:t>Thuật toán kiểm tra đồ thị có hướng (DAG) chặn mọi thao tác gán quản lý tạo vòng lặp A -&gt; B -&gt; A.</w:t>
      </w:r>
    </w:p>
    <w:p>
      <w:pPr>
        <w:pStyle w:val="Heading1"/>
      </w:pPr>
      <w:r>
        <w:t>Bảng Tham Chiếu /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Mã Quy Tắc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Mô Tả Ràng Buộc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Hành Vi Hệ Thống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BR-HR-01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Mã nhân viên MP-XXXX duy nhất toàn doanh nghiệp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Từ chối HTTP 409 nếu trùng mã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BR-HR-02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Chặn vòng lặp cây quản lý trực tiếp (DAG check)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Từ chối HTTP 422 REPORT_TO_CYCLE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BR-HR-03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Phạm vi ngoài hợp đồng Phase 1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Không lưu và không tính lương/thưởng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DOC-NVHR-REQ-001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NOVA SOLUTIONS  •  WATERFALL HRMS DELIVERY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