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FRS Phân Hệ Nghỉ Phép Năm, Nghỉ Nửa Ngày (0.5 Ngày) &amp; Phê Duyệt Đa Cấp</w:t>
      </w:r>
    </w:p>
    <w:p>
      <w:pPr>
        <w:spacing w:after="200"/>
      </w:pPr>
      <w:r>
        <w:rPr>
          <w:i/>
          <w:color w:val="475569"/>
        </w:rPr>
        <w:t>Tài liệu do cựu BA NV-U19 khởi tạo trước khi nghỉ việc (14/08/2026), quy định 12 ngày phép chuẩn/năm, cộng thâm niên 5 năm +1 ngày và nghỉ nửa 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DOC-NVLEV-REQ-001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NOVA-LEV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NV-U19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v1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ORG-NOVA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Chính Sách Quỹ Phép Năm Minh Phát</w:t>
      </w:r>
    </w:p>
    <w:p>
      <w:pPr>
        <w:pStyle w:val="ListBullet"/>
        <w:spacing w:after="60"/>
      </w:pPr>
      <w:r>
        <w:t>Nhân sự khối văn phòng hưởng 12.0 ngày phép/năm; cứ đủ 5 năm thâm niên được cộng thêm 1.0 ngày theo Bộ luật Lao động.</w:t>
      </w:r>
    </w:p>
    <w:p>
      <w:pPr>
        <w:pStyle w:val="ListBullet"/>
        <w:spacing w:after="60"/>
      </w:pPr>
      <w:r>
        <w:t>Đơn nghỉ từ 3.0 ngày trở lên bắt buộc qua 2 cấp duyệt: Direct Supervisor -&gt; HR C&amp;B.</w:t>
      </w:r>
    </w:p>
    <w:p>
      <w:pPr>
        <w:pStyle w:val="Heading1"/>
      </w:pPr>
      <w:r>
        <w:t>Quy Tắc Nghỉ Nửa Ngày &amp; Hủy Đơn</w:t>
      </w:r>
    </w:p>
    <w:p>
      <w:pPr>
        <w:pStyle w:val="ListBullet"/>
        <w:spacing w:after="60"/>
      </w:pPr>
      <w:r>
        <w:t>Nghỉ buổi sáng (08:00–12:00) hoặc buổi chiều (13:00–17:00) trừ đúng 0.5 ngày phép; khi hủy một ngày hoặc nửa ngày trong đơn nhiều ngày, hệ thống chỉ được hoàn trả đúng phần duration_days thực tế của mục bị hủy.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DOC-NVLEV-REQ-001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NOVA SOLUTIONS  •  WATERFALL HRMS DELIVERY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