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Khung Chỉ Số SLI/SLO Đa Tenant (99.95% Availability) &amp; Cảnh Báo Tốc Độ Đốt Ngân Sách Lỗi</w:t>
      </w:r>
    </w:p>
    <w:p>
      <w:pPr>
        <w:spacing w:after="200"/>
      </w:pPr>
      <w:r>
        <w:rPr>
          <w:i/>
          <w:color w:val="475569"/>
        </w:rPr>
        <w:t>Định nghĩa SLO khả dụng 99.95%/tháng và cảnh báo đa cửa sổ (multi-window burn-rate) giảm nhiễu ca trực.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DOC-CLDOBS-REQ-001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CLD-OBS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CLD-U04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ORG-CLD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Tiêu Chuẩn Cảnh Báo Dựa Trên Triệu Chứng Người Dùng</w:t>
      </w:r>
    </w:p>
    <w:p>
      <w:pPr>
        <w:pStyle w:val="ListBullet"/>
        <w:spacing w:after="60"/>
      </w:pPr>
      <w:r>
        <w:t>Ưu tiên cảnh báo theo tỷ lệ lỗi 5xx và độ trễ P99 thực tế thay vì xung nhịp CPU thoáng qua.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DOC-CLDOBS-REQ-001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CLOUDOPS SERVICES  •  KANBAN 24/7 SRE &amp; INCIDENT RELAY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