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Kế Hoạch Triển Khai Pilot Phòng Khám Đa Khoa An Khang &amp; Tiêu Chí Cổng Milestone M1–M4</w:t>
      </w:r>
    </w:p>
    <w:p>
      <w:pPr>
        <w:spacing w:after="200"/>
      </w:pPr>
      <w:r>
        <w:rPr>
          <w:i/>
          <w:color w:val="475569"/>
        </w:rPr>
        <w:t>Xác định lộ trình Pilot 2 quầy lễ tân + 6 phòng bác sĩ giả lập và tiêu chí nghiệm thu thực địa.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DOC-MEDPIL-REQ-001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MED-PIL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MED-U06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ORG-MED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Cấu Trúc Điều Phối Hybrid Liên Dự Án</w:t>
      </w:r>
    </w:p>
    <w:p>
      <w:pPr>
        <w:pStyle w:val="ListBullet"/>
        <w:spacing w:after="60"/>
      </w:pPr>
      <w:r>
        <w:t>Ba dự án phát triển phần mềm (MED-REG, MED-APT, MED-ADM) chạy theo các Sprint 2 tuần hội tụ về các cổng Milestone chung.</w:t>
      </w:r>
    </w:p>
    <w:p>
      <w:pPr>
        <w:pStyle w:val="ListBullet"/>
        <w:spacing w:after="60"/>
      </w:pPr>
      <w:r>
        <w:t>Dự án triển khai thực địa MED-PIL quản lý theo danh mục cổng kiểm tra Milestone (sprint_id = null).</w:t>
      </w:r>
    </w:p>
    <w:p>
      <w:pPr>
        <w:pStyle w:val="Heading1"/>
      </w:pPr>
      <w:r>
        <w:t>Tiêu Chí Mở Cổng Pilot M3 &amp; Nghiệm Thu M4</w:t>
      </w:r>
    </w:p>
    <w:p>
      <w:pPr>
        <w:pStyle w:val="ListBullet"/>
        <w:spacing w:after="60"/>
      </w:pPr>
      <w:r>
        <w:t>100% dữ liệu nạp thử nghiệm tại An Khang là dữ liệu hành chính giả lập; hoàn thành diễn tập quầy tiếp đón ngày Thứ Bảy 10/10/2026 trước khi mở đón khách đầu tuần.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DOC-MEDPIL-REQ-001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MEDIFLOW HEALTHTECH  •  HYBRID CLINIC SCHEDULING &amp; ADMIN PILOT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